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C33AE" w14:textId="20564D99" w:rsidR="00A90FF2" w:rsidRPr="00DB3907" w:rsidRDefault="00A90FF2" w:rsidP="00A90FF2">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8</w:t>
      </w:r>
      <w:r w:rsidR="00B62C25">
        <w:rPr>
          <w:rFonts w:cs="Courier New"/>
          <w:sz w:val="24"/>
          <w:szCs w:val="24"/>
          <w:lang w:val="de-DE"/>
        </w:rPr>
        <w:t>1</w:t>
      </w:r>
      <w:r w:rsidRPr="00DB3907">
        <w:rPr>
          <w:rFonts w:cs="Courier New"/>
          <w:sz w:val="24"/>
          <w:szCs w:val="24"/>
          <w:lang w:val="de-DE"/>
        </w:rPr>
        <w:tab/>
      </w:r>
      <w:r w:rsidR="00B62C25">
        <w:rPr>
          <w:rFonts w:cs="Courier New"/>
          <w:sz w:val="24"/>
          <w:szCs w:val="24"/>
          <w:lang w:val="de-DE"/>
        </w:rPr>
        <w:t>R4-</w:t>
      </w:r>
      <w:r w:rsidR="00BE2999" w:rsidRPr="00BE2999">
        <w:t xml:space="preserve"> </w:t>
      </w:r>
      <w:r w:rsidR="00BE2999" w:rsidRPr="00BE2999">
        <w:rPr>
          <w:rFonts w:cs="Courier New"/>
          <w:sz w:val="24"/>
          <w:szCs w:val="24"/>
          <w:lang w:val="de-DE"/>
        </w:rPr>
        <w:t>1610166</w:t>
      </w:r>
    </w:p>
    <w:p w14:paraId="1D975CAD" w14:textId="20C45042" w:rsidR="00A90FF2" w:rsidRPr="00DB3907" w:rsidRDefault="00B62C25" w:rsidP="00A90FF2">
      <w:pPr>
        <w:pStyle w:val="Header"/>
        <w:tabs>
          <w:tab w:val="left" w:pos="6521"/>
        </w:tabs>
        <w:rPr>
          <w:rFonts w:cs="Arial"/>
          <w:sz w:val="24"/>
          <w:szCs w:val="24"/>
        </w:rPr>
      </w:pPr>
      <w:r>
        <w:rPr>
          <w:rFonts w:cs="Arial"/>
          <w:sz w:val="24"/>
          <w:szCs w:val="24"/>
        </w:rPr>
        <w:t>November 14</w:t>
      </w:r>
      <w:r w:rsidR="00A90FF2">
        <w:rPr>
          <w:rFonts w:cs="Arial"/>
          <w:sz w:val="24"/>
          <w:szCs w:val="24"/>
          <w:vertAlign w:val="superscript"/>
        </w:rPr>
        <w:t>th</w:t>
      </w:r>
      <w:r w:rsidR="00A90FF2">
        <w:rPr>
          <w:rFonts w:cs="Arial"/>
          <w:sz w:val="24"/>
          <w:szCs w:val="24"/>
        </w:rPr>
        <w:t xml:space="preserve"> ‒ 1</w:t>
      </w:r>
      <w:r>
        <w:rPr>
          <w:rFonts w:cs="Arial"/>
          <w:sz w:val="24"/>
          <w:szCs w:val="24"/>
        </w:rPr>
        <w:t>8</w:t>
      </w:r>
      <w:r w:rsidR="00A90FF2" w:rsidRPr="00BB0848">
        <w:rPr>
          <w:rFonts w:cs="Arial"/>
          <w:sz w:val="24"/>
          <w:szCs w:val="24"/>
          <w:vertAlign w:val="superscript"/>
        </w:rPr>
        <w:t>th</w:t>
      </w:r>
      <w:r w:rsidR="00A90FF2">
        <w:rPr>
          <w:rFonts w:cs="Arial"/>
          <w:sz w:val="24"/>
          <w:szCs w:val="24"/>
        </w:rPr>
        <w:t>, 2016</w:t>
      </w:r>
    </w:p>
    <w:p w14:paraId="52CB10BE" w14:textId="7D172012" w:rsidR="00A90FF2" w:rsidRPr="00DB3907" w:rsidRDefault="00B62C25" w:rsidP="00A90FF2">
      <w:pPr>
        <w:pStyle w:val="Header"/>
        <w:rPr>
          <w:rFonts w:cs="Arial"/>
          <w:sz w:val="24"/>
          <w:szCs w:val="24"/>
        </w:rPr>
      </w:pPr>
      <w:r w:rsidRPr="00B62C25">
        <w:rPr>
          <w:rFonts w:cs="Arial"/>
          <w:sz w:val="24"/>
          <w:szCs w:val="24"/>
        </w:rPr>
        <w:t>Reno, Nevada, USA</w:t>
      </w:r>
    </w:p>
    <w:p w14:paraId="1440FE4C" w14:textId="77777777" w:rsidR="00E43D4D" w:rsidRPr="00F56E56" w:rsidRDefault="00E43D4D"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0E2401E5"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D60466">
        <w:rPr>
          <w:rFonts w:ascii="Arial" w:hAnsi="Arial"/>
          <w:sz w:val="24"/>
          <w:lang w:val="en-US"/>
        </w:rPr>
        <w:t>1</w:t>
      </w:r>
      <w:r w:rsidR="00BA381F">
        <w:rPr>
          <w:rFonts w:ascii="Arial" w:hAnsi="Arial"/>
          <w:sz w:val="24"/>
          <w:lang w:val="en-US"/>
        </w:rPr>
        <w:t>1</w:t>
      </w:r>
      <w:r w:rsidR="00D60466">
        <w:rPr>
          <w:rFonts w:ascii="Arial" w:hAnsi="Arial"/>
          <w:sz w:val="24"/>
          <w:lang w:val="en-US"/>
        </w:rPr>
        <w:t>.3.1</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4D7E9D56"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01461" w:rsidRPr="00E01461">
        <w:rPr>
          <w:rFonts w:ascii="Arial" w:hAnsi="Arial"/>
          <w:sz w:val="24"/>
          <w:lang w:val="en-US"/>
        </w:rPr>
        <w:t>Simulation of results for NR coexistence study: summary and ACIR proposals</w:t>
      </w:r>
    </w:p>
    <w:p w14:paraId="0539B97D" w14:textId="052962A7"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3E79DA">
        <w:rPr>
          <w:rFonts w:ascii="Arial" w:hAnsi="Arial"/>
          <w:sz w:val="24"/>
          <w:lang w:val="en-US"/>
        </w:rPr>
        <w:t>Approval</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67B664AC" w14:textId="1B128282" w:rsidR="00644DBE" w:rsidRDefault="00895ACA" w:rsidP="0020451B">
      <w:pPr>
        <w:jc w:val="both"/>
      </w:pPr>
      <w:r>
        <w:t xml:space="preserve">In this contribution we present </w:t>
      </w:r>
      <w:r w:rsidR="00E01461">
        <w:t>a summary of the adjacent channel coexistence simulation results for NR</w:t>
      </w:r>
      <w:r w:rsidR="005C074B">
        <w:t>.</w:t>
      </w:r>
      <w:r>
        <w:t xml:space="preserve"> </w:t>
      </w:r>
      <w:r w:rsidR="00ED2954">
        <w:t xml:space="preserve">The simulation assumptions adopted </w:t>
      </w:r>
      <w:r w:rsidR="00E01461">
        <w:t>were</w:t>
      </w:r>
      <w:r w:rsidR="00ED2954">
        <w:t xml:space="preserve"> the ones agreed in RAN4 #80bis </w:t>
      </w:r>
      <w:r w:rsidR="00ED2954">
        <w:fldChar w:fldCharType="begin"/>
      </w:r>
      <w:r w:rsidR="00ED2954">
        <w:instrText xml:space="preserve"> REF _Ref465947019 \r \h </w:instrText>
      </w:r>
      <w:r w:rsidR="00ED2954">
        <w:fldChar w:fldCharType="separate"/>
      </w:r>
      <w:r w:rsidR="00D360DF">
        <w:t>[1</w:t>
      </w:r>
      <w:proofErr w:type="gramStart"/>
      <w:r w:rsidR="00D360DF">
        <w:t>]</w:t>
      </w:r>
      <w:proofErr w:type="gramEnd"/>
      <w:r w:rsidR="00ED2954">
        <w:fldChar w:fldCharType="end"/>
      </w:r>
      <w:r w:rsidR="00ED2954">
        <w:fldChar w:fldCharType="begin"/>
      </w:r>
      <w:r w:rsidR="00ED2954">
        <w:instrText xml:space="preserve"> REF _Ref465947021 \r \h </w:instrText>
      </w:r>
      <w:r w:rsidR="00ED2954">
        <w:fldChar w:fldCharType="separate"/>
      </w:r>
      <w:r w:rsidR="00D360DF">
        <w:t>[2]</w:t>
      </w:r>
      <w:r w:rsidR="00ED2954">
        <w:fldChar w:fldCharType="end"/>
      </w:r>
      <w:r w:rsidR="00ED2954">
        <w:fldChar w:fldCharType="begin"/>
      </w:r>
      <w:r w:rsidR="00ED2954">
        <w:instrText xml:space="preserve"> REF _Ref465947023 \r \h </w:instrText>
      </w:r>
      <w:r w:rsidR="00ED2954">
        <w:fldChar w:fldCharType="separate"/>
      </w:r>
      <w:r w:rsidR="00D360DF">
        <w:t>[3]</w:t>
      </w:r>
      <w:r w:rsidR="00ED2954">
        <w:fldChar w:fldCharType="end"/>
      </w:r>
      <w:r w:rsidR="00ED2954">
        <w:t>.</w:t>
      </w:r>
      <w:r>
        <w:t xml:space="preserve"> </w:t>
      </w:r>
      <w:r w:rsidR="00E01461">
        <w:t xml:space="preserve">Based on the </w:t>
      </w:r>
      <w:r w:rsidR="001C6B44">
        <w:t>obtained</w:t>
      </w:r>
      <w:r w:rsidR="00E01461">
        <w:t xml:space="preserve"> results we make a proposal for the ACIR to be adopted in the ACS/ACLR derivation.</w:t>
      </w:r>
      <w:r>
        <w:t xml:space="preserve">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1085E9E7" w14:textId="24E6F776" w:rsidR="00531558" w:rsidRDefault="007668C0" w:rsidP="00E01461">
      <w:pPr>
        <w:rPr>
          <w:lang w:val="en-US"/>
        </w:rPr>
      </w:pPr>
      <w:r>
        <w:rPr>
          <w:lang w:val="en-US"/>
        </w:rPr>
        <w:t xml:space="preserve">The latest simulation assumptions for NR adjacent channel coexistence study were agreed in </w:t>
      </w:r>
      <w:r>
        <w:rPr>
          <w:lang w:val="en-US"/>
        </w:rPr>
        <w:fldChar w:fldCharType="begin"/>
      </w:r>
      <w:r>
        <w:rPr>
          <w:lang w:val="en-US"/>
        </w:rPr>
        <w:instrText xml:space="preserve"> REF _Ref465947019 \r \h </w:instrText>
      </w:r>
      <w:r>
        <w:rPr>
          <w:lang w:val="en-US"/>
        </w:rPr>
      </w:r>
      <w:r>
        <w:rPr>
          <w:lang w:val="en-US"/>
        </w:rPr>
        <w:fldChar w:fldCharType="separate"/>
      </w:r>
      <w:r w:rsidR="00D360DF">
        <w:rPr>
          <w:lang w:val="en-US"/>
        </w:rPr>
        <w:t>[1]</w:t>
      </w:r>
      <w:r>
        <w:rPr>
          <w:lang w:val="en-US"/>
        </w:rPr>
        <w:fldChar w:fldCharType="end"/>
      </w:r>
      <w:r>
        <w:rPr>
          <w:lang w:val="en-US"/>
        </w:rPr>
        <w:t>. A total of 11 test cases were identified:</w:t>
      </w:r>
    </w:p>
    <w:p w14:paraId="4C549B31" w14:textId="0DD9FDEB" w:rsidR="007668C0" w:rsidRPr="007668C0" w:rsidRDefault="007668C0" w:rsidP="000041C7">
      <w:pPr>
        <w:pStyle w:val="ListParagraph"/>
        <w:numPr>
          <w:ilvl w:val="0"/>
          <w:numId w:val="12"/>
        </w:numPr>
        <w:rPr>
          <w:lang w:val="en-US"/>
        </w:rPr>
      </w:pPr>
      <w:r w:rsidRPr="007668C0">
        <w:rPr>
          <w:lang w:val="en-US"/>
        </w:rPr>
        <w:t>DL to DL</w:t>
      </w:r>
      <w:r>
        <w:rPr>
          <w:lang w:val="en-US"/>
        </w:rPr>
        <w:t xml:space="preserve">, </w:t>
      </w:r>
      <w:r w:rsidRPr="007668C0">
        <w:rPr>
          <w:lang w:val="en-US"/>
        </w:rPr>
        <w:t>Indoor hotspot</w:t>
      </w:r>
      <w:r>
        <w:rPr>
          <w:lang w:val="en-US"/>
        </w:rPr>
        <w:t>, 30GHz</w:t>
      </w:r>
    </w:p>
    <w:p w14:paraId="64D28895" w14:textId="299E5063" w:rsidR="007668C0" w:rsidRPr="007668C0" w:rsidRDefault="007668C0" w:rsidP="000041C7">
      <w:pPr>
        <w:pStyle w:val="ListParagraph"/>
        <w:numPr>
          <w:ilvl w:val="0"/>
          <w:numId w:val="12"/>
        </w:numPr>
        <w:rPr>
          <w:lang w:val="en-US"/>
        </w:rPr>
      </w:pPr>
      <w:r>
        <w:rPr>
          <w:lang w:val="en-US"/>
        </w:rPr>
        <w:t xml:space="preserve">DL to DL, </w:t>
      </w:r>
      <w:r w:rsidRPr="007668C0">
        <w:rPr>
          <w:lang w:val="en-US"/>
        </w:rPr>
        <w:t>Urban macro</w:t>
      </w:r>
      <w:r>
        <w:rPr>
          <w:lang w:val="en-US"/>
        </w:rPr>
        <w:t>, 30GHz</w:t>
      </w:r>
    </w:p>
    <w:p w14:paraId="7BCE978A" w14:textId="397EB337" w:rsidR="007668C0" w:rsidRPr="007668C0" w:rsidRDefault="007668C0" w:rsidP="000041C7">
      <w:pPr>
        <w:pStyle w:val="ListParagraph"/>
        <w:numPr>
          <w:ilvl w:val="0"/>
          <w:numId w:val="12"/>
        </w:numPr>
        <w:rPr>
          <w:lang w:val="en-US"/>
        </w:rPr>
      </w:pPr>
      <w:r>
        <w:rPr>
          <w:lang w:val="en-US"/>
        </w:rPr>
        <w:t xml:space="preserve">DL to DL, </w:t>
      </w:r>
      <w:r w:rsidRPr="007668C0">
        <w:rPr>
          <w:lang w:val="en-US"/>
        </w:rPr>
        <w:t>Dense urban</w:t>
      </w:r>
      <w:r>
        <w:rPr>
          <w:lang w:val="en-US"/>
        </w:rPr>
        <w:t>, 30GHz</w:t>
      </w:r>
    </w:p>
    <w:p w14:paraId="3F987A0D" w14:textId="4CAE293C" w:rsidR="007668C0" w:rsidRPr="007668C0" w:rsidRDefault="007668C0" w:rsidP="000041C7">
      <w:pPr>
        <w:pStyle w:val="ListParagraph"/>
        <w:numPr>
          <w:ilvl w:val="0"/>
          <w:numId w:val="12"/>
        </w:numPr>
        <w:rPr>
          <w:lang w:val="en-US"/>
        </w:rPr>
      </w:pPr>
      <w:r>
        <w:rPr>
          <w:lang w:val="en-US"/>
        </w:rPr>
        <w:t xml:space="preserve">UL to UL, </w:t>
      </w:r>
      <w:r w:rsidRPr="007668C0">
        <w:rPr>
          <w:lang w:val="en-US"/>
        </w:rPr>
        <w:t>Indoor hotspot</w:t>
      </w:r>
      <w:r>
        <w:rPr>
          <w:lang w:val="en-US"/>
        </w:rPr>
        <w:t>, 30GHz</w:t>
      </w:r>
    </w:p>
    <w:p w14:paraId="578F145F" w14:textId="354D54B3" w:rsidR="007668C0" w:rsidRPr="007668C0" w:rsidRDefault="007668C0" w:rsidP="000041C7">
      <w:pPr>
        <w:pStyle w:val="ListParagraph"/>
        <w:numPr>
          <w:ilvl w:val="0"/>
          <w:numId w:val="12"/>
        </w:numPr>
        <w:rPr>
          <w:lang w:val="en-US"/>
        </w:rPr>
      </w:pPr>
      <w:r>
        <w:rPr>
          <w:lang w:val="en-US"/>
        </w:rPr>
        <w:t xml:space="preserve">UL to UL, </w:t>
      </w:r>
      <w:r w:rsidRPr="007668C0">
        <w:rPr>
          <w:lang w:val="en-US"/>
        </w:rPr>
        <w:t>Urban macro</w:t>
      </w:r>
      <w:r w:rsidR="00AB22CC">
        <w:rPr>
          <w:lang w:val="en-US"/>
        </w:rPr>
        <w:t>, 30GHz</w:t>
      </w:r>
    </w:p>
    <w:p w14:paraId="270D5D93" w14:textId="72B735CF" w:rsidR="007668C0" w:rsidRPr="007668C0" w:rsidRDefault="007668C0" w:rsidP="000041C7">
      <w:pPr>
        <w:pStyle w:val="ListParagraph"/>
        <w:numPr>
          <w:ilvl w:val="0"/>
          <w:numId w:val="12"/>
        </w:numPr>
        <w:rPr>
          <w:lang w:val="en-US"/>
        </w:rPr>
      </w:pPr>
      <w:r>
        <w:rPr>
          <w:lang w:val="en-US"/>
        </w:rPr>
        <w:t xml:space="preserve">UL to UL, </w:t>
      </w:r>
      <w:r w:rsidRPr="007668C0">
        <w:rPr>
          <w:lang w:val="en-US"/>
        </w:rPr>
        <w:t>Dense urban</w:t>
      </w:r>
      <w:r w:rsidR="00AB22CC">
        <w:rPr>
          <w:lang w:val="en-US"/>
        </w:rPr>
        <w:t>, 30GHz</w:t>
      </w:r>
    </w:p>
    <w:p w14:paraId="46CB9ACE" w14:textId="3A954D65" w:rsidR="007668C0" w:rsidRPr="007668C0" w:rsidRDefault="007668C0" w:rsidP="000041C7">
      <w:pPr>
        <w:pStyle w:val="ListParagraph"/>
        <w:numPr>
          <w:ilvl w:val="0"/>
          <w:numId w:val="12"/>
        </w:numPr>
        <w:rPr>
          <w:lang w:val="en-US"/>
        </w:rPr>
      </w:pPr>
      <w:r>
        <w:rPr>
          <w:lang w:val="en-US"/>
        </w:rPr>
        <w:t xml:space="preserve">DL to DL, </w:t>
      </w:r>
      <w:r w:rsidRPr="007668C0">
        <w:rPr>
          <w:lang w:val="en-US"/>
        </w:rPr>
        <w:t>Indoor hotspot</w:t>
      </w:r>
      <w:r w:rsidR="00AB22CC">
        <w:rPr>
          <w:lang w:val="en-US"/>
        </w:rPr>
        <w:t>, 70GHz</w:t>
      </w:r>
    </w:p>
    <w:p w14:paraId="0BFEB8D7" w14:textId="29B29298" w:rsidR="007668C0" w:rsidRPr="007668C0" w:rsidRDefault="007668C0" w:rsidP="000041C7">
      <w:pPr>
        <w:pStyle w:val="ListParagraph"/>
        <w:numPr>
          <w:ilvl w:val="0"/>
          <w:numId w:val="12"/>
        </w:numPr>
        <w:rPr>
          <w:lang w:val="en-US"/>
        </w:rPr>
      </w:pPr>
      <w:r>
        <w:rPr>
          <w:lang w:val="en-US"/>
        </w:rPr>
        <w:t xml:space="preserve">DL to DL, </w:t>
      </w:r>
      <w:r w:rsidRPr="007668C0">
        <w:rPr>
          <w:lang w:val="en-US"/>
        </w:rPr>
        <w:t>Dense urban</w:t>
      </w:r>
      <w:r w:rsidR="00AB22CC">
        <w:rPr>
          <w:lang w:val="en-US"/>
        </w:rPr>
        <w:t>, 70GHz</w:t>
      </w:r>
    </w:p>
    <w:p w14:paraId="4605C814" w14:textId="40C5BD0E" w:rsidR="007668C0" w:rsidRPr="007668C0" w:rsidRDefault="007668C0" w:rsidP="000041C7">
      <w:pPr>
        <w:pStyle w:val="ListParagraph"/>
        <w:numPr>
          <w:ilvl w:val="0"/>
          <w:numId w:val="12"/>
        </w:numPr>
        <w:rPr>
          <w:lang w:val="en-US"/>
        </w:rPr>
      </w:pPr>
      <w:r>
        <w:rPr>
          <w:lang w:val="en-US"/>
        </w:rPr>
        <w:t xml:space="preserve">UL to UL, </w:t>
      </w:r>
      <w:r w:rsidRPr="007668C0">
        <w:rPr>
          <w:lang w:val="en-US"/>
        </w:rPr>
        <w:t>Indoor hotspot</w:t>
      </w:r>
      <w:r w:rsidR="00AB22CC">
        <w:rPr>
          <w:lang w:val="en-US"/>
        </w:rPr>
        <w:t xml:space="preserve"> ,70GHz</w:t>
      </w:r>
    </w:p>
    <w:p w14:paraId="66D9750A" w14:textId="00C7F69F" w:rsidR="007668C0" w:rsidRPr="007668C0" w:rsidRDefault="007668C0" w:rsidP="000041C7">
      <w:pPr>
        <w:pStyle w:val="ListParagraph"/>
        <w:numPr>
          <w:ilvl w:val="0"/>
          <w:numId w:val="12"/>
        </w:numPr>
        <w:rPr>
          <w:lang w:val="en-US"/>
        </w:rPr>
      </w:pPr>
      <w:r>
        <w:rPr>
          <w:lang w:val="en-US"/>
        </w:rPr>
        <w:t xml:space="preserve">UL to UL, </w:t>
      </w:r>
      <w:r w:rsidRPr="007668C0">
        <w:rPr>
          <w:lang w:val="en-US"/>
        </w:rPr>
        <w:t>Dense urban</w:t>
      </w:r>
      <w:r w:rsidR="00AB22CC">
        <w:rPr>
          <w:lang w:val="en-US"/>
        </w:rPr>
        <w:t>, 70GHz</w:t>
      </w:r>
    </w:p>
    <w:p w14:paraId="4BB01DF1" w14:textId="4541BA3A" w:rsidR="007668C0" w:rsidRDefault="007668C0" w:rsidP="000041C7">
      <w:pPr>
        <w:pStyle w:val="ListParagraph"/>
        <w:numPr>
          <w:ilvl w:val="0"/>
          <w:numId w:val="12"/>
        </w:numPr>
        <w:rPr>
          <w:lang w:val="en-US"/>
        </w:rPr>
      </w:pPr>
      <w:r>
        <w:rPr>
          <w:lang w:val="en-US"/>
        </w:rPr>
        <w:t xml:space="preserve">UL to UL, </w:t>
      </w:r>
      <w:r w:rsidRPr="007668C0">
        <w:rPr>
          <w:lang w:val="en-US"/>
        </w:rPr>
        <w:t>Urban macro</w:t>
      </w:r>
      <w:r w:rsidR="00AB22CC">
        <w:rPr>
          <w:lang w:val="en-US"/>
        </w:rPr>
        <w:t>, 30GHz</w:t>
      </w:r>
    </w:p>
    <w:p w14:paraId="124CDE0C" w14:textId="22724F3B" w:rsidR="00AB22CC" w:rsidRDefault="00AB22CC" w:rsidP="00AB22CC">
      <w:pPr>
        <w:rPr>
          <w:lang w:val="en-US"/>
        </w:rPr>
      </w:pPr>
      <w:r>
        <w:rPr>
          <w:lang w:val="en-US"/>
        </w:rPr>
        <w:t>We r</w:t>
      </w:r>
      <w:r w:rsidR="001C566C">
        <w:rPr>
          <w:lang w:val="en-US"/>
        </w:rPr>
        <w:t>a</w:t>
      </w:r>
      <w:r>
        <w:rPr>
          <w:lang w:val="en-US"/>
        </w:rPr>
        <w:t xml:space="preserve">n a full study and the </w:t>
      </w:r>
      <w:r w:rsidR="001C566C">
        <w:rPr>
          <w:lang w:val="en-US"/>
        </w:rPr>
        <w:t>following contributions contain</w:t>
      </w:r>
      <w:r>
        <w:rPr>
          <w:lang w:val="en-US"/>
        </w:rPr>
        <w:t xml:space="preserve"> </w:t>
      </w:r>
      <w:r w:rsidR="001C566C">
        <w:rPr>
          <w:lang w:val="en-US"/>
        </w:rPr>
        <w:t>the</w:t>
      </w:r>
      <w:r>
        <w:rPr>
          <w:lang w:val="en-US"/>
        </w:rPr>
        <w:t xml:space="preserve"> detail set of results:</w:t>
      </w:r>
    </w:p>
    <w:p w14:paraId="3ECDDA92" w14:textId="3FCD58C0" w:rsidR="00AB22CC" w:rsidRDefault="003E79DA" w:rsidP="000041C7">
      <w:pPr>
        <w:pStyle w:val="ListParagraph"/>
        <w:numPr>
          <w:ilvl w:val="0"/>
          <w:numId w:val="13"/>
        </w:numPr>
        <w:rPr>
          <w:lang w:val="en-US"/>
        </w:rPr>
      </w:pPr>
      <w:r>
        <w:rPr>
          <w:lang w:val="en-US"/>
        </w:rPr>
        <w:fldChar w:fldCharType="begin"/>
      </w:r>
      <w:r>
        <w:rPr>
          <w:lang w:val="en-US"/>
        </w:rPr>
        <w:instrText xml:space="preserve"> REF _Ref465947427 \r \h </w:instrText>
      </w:r>
      <w:r>
        <w:rPr>
          <w:lang w:val="en-US"/>
        </w:rPr>
      </w:r>
      <w:r>
        <w:rPr>
          <w:lang w:val="en-US"/>
        </w:rPr>
        <w:fldChar w:fldCharType="separate"/>
      </w:r>
      <w:r>
        <w:rPr>
          <w:lang w:val="en-US"/>
        </w:rPr>
        <w:t>[4]</w:t>
      </w:r>
      <w:r>
        <w:rPr>
          <w:lang w:val="en-US"/>
        </w:rPr>
        <w:fldChar w:fldCharType="end"/>
      </w:r>
      <w:r>
        <w:rPr>
          <w:lang w:val="en-US"/>
        </w:rPr>
        <w:t xml:space="preserve"> </w:t>
      </w:r>
      <w:r w:rsidR="00AB22CC">
        <w:rPr>
          <w:lang w:val="en-US"/>
        </w:rPr>
        <w:t>contains analysis for Case 2, Case 5 and Case 1</w:t>
      </w:r>
      <w:r>
        <w:rPr>
          <w:lang w:val="en-US"/>
        </w:rPr>
        <w:t>1</w:t>
      </w:r>
    </w:p>
    <w:p w14:paraId="1F0E6421" w14:textId="6605A4AF" w:rsidR="00AB22CC" w:rsidRDefault="003E79DA" w:rsidP="000041C7">
      <w:pPr>
        <w:pStyle w:val="ListParagraph"/>
        <w:numPr>
          <w:ilvl w:val="0"/>
          <w:numId w:val="13"/>
        </w:numPr>
        <w:rPr>
          <w:lang w:val="en-US"/>
        </w:rPr>
      </w:pPr>
      <w:r>
        <w:rPr>
          <w:lang w:val="en-US"/>
        </w:rPr>
        <w:fldChar w:fldCharType="begin"/>
      </w:r>
      <w:r>
        <w:rPr>
          <w:lang w:val="en-US"/>
        </w:rPr>
        <w:instrText xml:space="preserve"> REF _Ref465964795 \r \h </w:instrText>
      </w:r>
      <w:r>
        <w:rPr>
          <w:lang w:val="en-US"/>
        </w:rPr>
      </w:r>
      <w:r>
        <w:rPr>
          <w:lang w:val="en-US"/>
        </w:rPr>
        <w:fldChar w:fldCharType="separate"/>
      </w:r>
      <w:r>
        <w:rPr>
          <w:lang w:val="en-US"/>
        </w:rPr>
        <w:t>[5]</w:t>
      </w:r>
      <w:r>
        <w:rPr>
          <w:lang w:val="en-US"/>
        </w:rPr>
        <w:fldChar w:fldCharType="end"/>
      </w:r>
      <w:r>
        <w:rPr>
          <w:lang w:val="en-US"/>
        </w:rPr>
        <w:t xml:space="preserve"> </w:t>
      </w:r>
      <w:r w:rsidR="00AB22CC">
        <w:rPr>
          <w:lang w:val="en-US"/>
        </w:rPr>
        <w:t xml:space="preserve">contains analysis for Case </w:t>
      </w:r>
      <w:r>
        <w:rPr>
          <w:lang w:val="en-US"/>
        </w:rPr>
        <w:t>3</w:t>
      </w:r>
      <w:r w:rsidR="00AB22CC">
        <w:rPr>
          <w:lang w:val="en-US"/>
        </w:rPr>
        <w:t xml:space="preserve"> and Case </w:t>
      </w:r>
      <w:r>
        <w:rPr>
          <w:lang w:val="en-US"/>
        </w:rPr>
        <w:t>6</w:t>
      </w:r>
    </w:p>
    <w:p w14:paraId="32B676AA" w14:textId="50A1FA20" w:rsidR="00AB22CC" w:rsidRDefault="003E79DA" w:rsidP="000041C7">
      <w:pPr>
        <w:pStyle w:val="ListParagraph"/>
        <w:numPr>
          <w:ilvl w:val="0"/>
          <w:numId w:val="13"/>
        </w:numPr>
        <w:rPr>
          <w:lang w:val="en-US"/>
        </w:rPr>
      </w:pPr>
      <w:r>
        <w:rPr>
          <w:lang w:val="en-US"/>
        </w:rPr>
        <w:fldChar w:fldCharType="begin"/>
      </w:r>
      <w:r>
        <w:rPr>
          <w:lang w:val="en-US"/>
        </w:rPr>
        <w:instrText xml:space="preserve"> REF _Ref465964784 \r \h </w:instrText>
      </w:r>
      <w:r>
        <w:rPr>
          <w:lang w:val="en-US"/>
        </w:rPr>
      </w:r>
      <w:r>
        <w:rPr>
          <w:lang w:val="en-US"/>
        </w:rPr>
        <w:fldChar w:fldCharType="separate"/>
      </w:r>
      <w:r>
        <w:rPr>
          <w:lang w:val="en-US"/>
        </w:rPr>
        <w:t>[6]</w:t>
      </w:r>
      <w:r>
        <w:rPr>
          <w:lang w:val="en-US"/>
        </w:rPr>
        <w:fldChar w:fldCharType="end"/>
      </w:r>
      <w:r>
        <w:rPr>
          <w:lang w:val="en-US"/>
        </w:rPr>
        <w:t xml:space="preserve"> </w:t>
      </w:r>
      <w:r w:rsidR="00AB22CC">
        <w:rPr>
          <w:lang w:val="en-US"/>
        </w:rPr>
        <w:t xml:space="preserve">contains analysis for Case </w:t>
      </w:r>
      <w:r>
        <w:rPr>
          <w:lang w:val="en-US"/>
        </w:rPr>
        <w:t>1</w:t>
      </w:r>
      <w:r w:rsidR="00AB22CC">
        <w:rPr>
          <w:lang w:val="en-US"/>
        </w:rPr>
        <w:t xml:space="preserve"> and Case </w:t>
      </w:r>
      <w:r>
        <w:rPr>
          <w:lang w:val="en-US"/>
        </w:rPr>
        <w:t>4</w:t>
      </w:r>
    </w:p>
    <w:p w14:paraId="401DF0CD" w14:textId="3B9C3CD1" w:rsidR="00AB22CC" w:rsidRDefault="003E79DA" w:rsidP="000041C7">
      <w:pPr>
        <w:pStyle w:val="ListParagraph"/>
        <w:numPr>
          <w:ilvl w:val="0"/>
          <w:numId w:val="13"/>
        </w:numPr>
        <w:rPr>
          <w:lang w:val="en-US"/>
        </w:rPr>
      </w:pPr>
      <w:r>
        <w:rPr>
          <w:lang w:val="en-US"/>
        </w:rPr>
        <w:fldChar w:fldCharType="begin"/>
      </w:r>
      <w:r>
        <w:rPr>
          <w:lang w:val="en-US"/>
        </w:rPr>
        <w:instrText xml:space="preserve"> REF _Ref466046697 \r \h </w:instrText>
      </w:r>
      <w:r>
        <w:rPr>
          <w:lang w:val="en-US"/>
        </w:rPr>
      </w:r>
      <w:r>
        <w:rPr>
          <w:lang w:val="en-US"/>
        </w:rPr>
        <w:fldChar w:fldCharType="separate"/>
      </w:r>
      <w:r>
        <w:rPr>
          <w:lang w:val="en-US"/>
        </w:rPr>
        <w:t>[7]</w:t>
      </w:r>
      <w:r>
        <w:rPr>
          <w:lang w:val="en-US"/>
        </w:rPr>
        <w:fldChar w:fldCharType="end"/>
      </w:r>
      <w:r>
        <w:rPr>
          <w:lang w:val="en-US"/>
        </w:rPr>
        <w:t xml:space="preserve"> </w:t>
      </w:r>
      <w:r w:rsidR="00AB22CC">
        <w:rPr>
          <w:lang w:val="en-US"/>
        </w:rPr>
        <w:t xml:space="preserve">contains analysis for Case </w:t>
      </w:r>
      <w:r>
        <w:rPr>
          <w:lang w:val="en-US"/>
        </w:rPr>
        <w:t>8</w:t>
      </w:r>
      <w:r w:rsidR="00AB22CC">
        <w:rPr>
          <w:lang w:val="en-US"/>
        </w:rPr>
        <w:t xml:space="preserve"> and Case </w:t>
      </w:r>
      <w:r>
        <w:rPr>
          <w:lang w:val="en-US"/>
        </w:rPr>
        <w:t>10</w:t>
      </w:r>
    </w:p>
    <w:p w14:paraId="61D6E720" w14:textId="105620B3" w:rsidR="00AB22CC" w:rsidRDefault="003E79DA" w:rsidP="000041C7">
      <w:pPr>
        <w:pStyle w:val="ListParagraph"/>
        <w:numPr>
          <w:ilvl w:val="0"/>
          <w:numId w:val="13"/>
        </w:numPr>
        <w:rPr>
          <w:lang w:val="en-US"/>
        </w:rPr>
      </w:pPr>
      <w:r>
        <w:rPr>
          <w:lang w:val="en-US"/>
        </w:rPr>
        <w:fldChar w:fldCharType="begin"/>
      </w:r>
      <w:r>
        <w:rPr>
          <w:lang w:val="en-US"/>
        </w:rPr>
        <w:instrText xml:space="preserve"> REF _Ref465964801 \r \h </w:instrText>
      </w:r>
      <w:r>
        <w:rPr>
          <w:lang w:val="en-US"/>
        </w:rPr>
      </w:r>
      <w:r>
        <w:rPr>
          <w:lang w:val="en-US"/>
        </w:rPr>
        <w:fldChar w:fldCharType="separate"/>
      </w:r>
      <w:r>
        <w:rPr>
          <w:lang w:val="en-US"/>
        </w:rPr>
        <w:t>[8]</w:t>
      </w:r>
      <w:r>
        <w:rPr>
          <w:lang w:val="en-US"/>
        </w:rPr>
        <w:fldChar w:fldCharType="end"/>
      </w:r>
      <w:r>
        <w:rPr>
          <w:lang w:val="en-US"/>
        </w:rPr>
        <w:t xml:space="preserve"> </w:t>
      </w:r>
      <w:r w:rsidR="00AB22CC">
        <w:rPr>
          <w:lang w:val="en-US"/>
        </w:rPr>
        <w:t>contains</w:t>
      </w:r>
      <w:r>
        <w:rPr>
          <w:lang w:val="en-US"/>
        </w:rPr>
        <w:t xml:space="preserve"> analysis for Case 7 and Case 9</w:t>
      </w:r>
    </w:p>
    <w:p w14:paraId="297C3719" w14:textId="1656404F" w:rsidR="00E5417F" w:rsidRDefault="00AB22CC" w:rsidP="005F1DA6">
      <w:pPr>
        <w:jc w:val="both"/>
        <w:rPr>
          <w:lang w:val="en-US"/>
        </w:rPr>
      </w:pPr>
      <w:r>
        <w:rPr>
          <w:lang w:val="en-US"/>
        </w:rPr>
        <w:t xml:space="preserve">A summary of the simulation results is presented in </w:t>
      </w:r>
      <w:r>
        <w:rPr>
          <w:lang w:val="en-US"/>
        </w:rPr>
        <w:fldChar w:fldCharType="begin"/>
      </w:r>
      <w:r>
        <w:rPr>
          <w:lang w:val="en-US"/>
        </w:rPr>
        <w:instrText xml:space="preserve"> REF _Ref465965344 \h </w:instrText>
      </w:r>
      <w:r w:rsidR="005F1DA6">
        <w:rPr>
          <w:lang w:val="en-US"/>
        </w:rPr>
        <w:instrText xml:space="preserve"> \* MERGEFORMAT </w:instrText>
      </w:r>
      <w:r>
        <w:rPr>
          <w:lang w:val="en-US"/>
        </w:rPr>
      </w:r>
      <w:r>
        <w:rPr>
          <w:lang w:val="en-US"/>
        </w:rPr>
        <w:fldChar w:fldCharType="separate"/>
      </w:r>
      <w:r w:rsidR="00D360DF">
        <w:t xml:space="preserve">Table </w:t>
      </w:r>
      <w:r w:rsidR="00D360DF">
        <w:rPr>
          <w:noProof/>
        </w:rPr>
        <w:t>1</w:t>
      </w:r>
      <w:r>
        <w:rPr>
          <w:lang w:val="en-US"/>
        </w:rPr>
        <w:fldChar w:fldCharType="end"/>
      </w:r>
      <w:r>
        <w:rPr>
          <w:lang w:val="en-US"/>
        </w:rPr>
        <w:t xml:space="preserve">. </w:t>
      </w:r>
      <w:r w:rsidR="00E5417F">
        <w:rPr>
          <w:lang w:val="en-US"/>
        </w:rPr>
        <w:t xml:space="preserve">The results are expressed in terms of ACIR needed to keep the mean and 5%-tile degradation due to ACI within 5%. </w:t>
      </w:r>
      <w:r w:rsidR="003E33A0">
        <w:rPr>
          <w:lang w:val="en-US"/>
        </w:rPr>
        <w:t>Based on the simulation results available so far</w:t>
      </w:r>
      <w:r w:rsidR="00E5417F">
        <w:rPr>
          <w:lang w:val="en-US"/>
        </w:rPr>
        <w:t>:</w:t>
      </w:r>
    </w:p>
    <w:p w14:paraId="06224FC8" w14:textId="109FFC5E" w:rsidR="00AB22CC" w:rsidRDefault="00E5417F" w:rsidP="000041C7">
      <w:pPr>
        <w:pStyle w:val="ListParagraph"/>
        <w:numPr>
          <w:ilvl w:val="0"/>
          <w:numId w:val="14"/>
        </w:numPr>
        <w:rPr>
          <w:lang w:val="en-US"/>
        </w:rPr>
      </w:pPr>
      <w:r>
        <w:rPr>
          <w:lang w:val="en-US"/>
        </w:rPr>
        <w:t>The DL ACIR needed for the mean degradation criteria is always less than 17dB</w:t>
      </w:r>
      <w:r w:rsidR="00AB22CC" w:rsidRPr="00E5417F">
        <w:rPr>
          <w:lang w:val="en-US"/>
        </w:rPr>
        <w:t xml:space="preserve"> </w:t>
      </w:r>
    </w:p>
    <w:p w14:paraId="158E1E42" w14:textId="77D94934" w:rsidR="00E5417F" w:rsidRPr="00E5417F" w:rsidRDefault="00E5417F" w:rsidP="000041C7">
      <w:pPr>
        <w:pStyle w:val="ListParagraph"/>
        <w:numPr>
          <w:ilvl w:val="0"/>
          <w:numId w:val="14"/>
        </w:numPr>
        <w:rPr>
          <w:lang w:val="en-US"/>
        </w:rPr>
      </w:pPr>
      <w:r>
        <w:rPr>
          <w:lang w:val="en-US"/>
        </w:rPr>
        <w:t>The DL ACIR needed for the 5%-tile degradation criteria is always less than 15dB</w:t>
      </w:r>
    </w:p>
    <w:p w14:paraId="0FE48AC9" w14:textId="16324F0A" w:rsidR="00E5417F" w:rsidRDefault="00E5417F" w:rsidP="000041C7">
      <w:pPr>
        <w:pStyle w:val="ListParagraph"/>
        <w:numPr>
          <w:ilvl w:val="0"/>
          <w:numId w:val="14"/>
        </w:numPr>
        <w:rPr>
          <w:lang w:val="en-US"/>
        </w:rPr>
      </w:pPr>
      <w:r>
        <w:rPr>
          <w:lang w:val="en-US"/>
        </w:rPr>
        <w:t>The UL ACIR needed for the mean degradation criteria is always less than 1</w:t>
      </w:r>
      <w:r w:rsidR="003E33A0">
        <w:rPr>
          <w:lang w:val="en-US"/>
        </w:rPr>
        <w:t>0</w:t>
      </w:r>
      <w:r>
        <w:rPr>
          <w:lang w:val="en-US"/>
        </w:rPr>
        <w:t>dB</w:t>
      </w:r>
      <w:r w:rsidRPr="00E5417F">
        <w:rPr>
          <w:lang w:val="en-US"/>
        </w:rPr>
        <w:t xml:space="preserve"> </w:t>
      </w:r>
    </w:p>
    <w:p w14:paraId="0251599A" w14:textId="10FFCAEB" w:rsidR="00E5417F" w:rsidRPr="00E5417F" w:rsidRDefault="00E5417F" w:rsidP="000041C7">
      <w:pPr>
        <w:pStyle w:val="ListParagraph"/>
        <w:numPr>
          <w:ilvl w:val="0"/>
          <w:numId w:val="14"/>
        </w:numPr>
        <w:rPr>
          <w:lang w:val="en-US"/>
        </w:rPr>
      </w:pPr>
      <w:r>
        <w:rPr>
          <w:lang w:val="en-US"/>
        </w:rPr>
        <w:t xml:space="preserve">The UL ACIR needed for the 5%-tile degradation criteria is always less than </w:t>
      </w:r>
      <w:r w:rsidR="003E33A0">
        <w:rPr>
          <w:lang w:val="en-US"/>
        </w:rPr>
        <w:t>15</w:t>
      </w:r>
      <w:r>
        <w:rPr>
          <w:lang w:val="en-US"/>
        </w:rPr>
        <w:t>dB</w:t>
      </w:r>
    </w:p>
    <w:p w14:paraId="1E74BFA3" w14:textId="306685A9" w:rsidR="00136CBB" w:rsidRDefault="00136CBB" w:rsidP="00E5417F">
      <w:pPr>
        <w:rPr>
          <w:lang w:val="en-US"/>
        </w:rPr>
      </w:pPr>
      <w:r>
        <w:rPr>
          <w:lang w:val="en-US"/>
        </w:rPr>
        <w:t>Based on the above observation</w:t>
      </w:r>
      <w:r w:rsidR="00CB4775">
        <w:rPr>
          <w:lang w:val="en-US"/>
        </w:rPr>
        <w:t>s</w:t>
      </w:r>
      <w:r>
        <w:rPr>
          <w:lang w:val="en-US"/>
        </w:rPr>
        <w:t>, we make the following proposals to restrict the ACIR range:</w:t>
      </w:r>
    </w:p>
    <w:p w14:paraId="05E718FA" w14:textId="36572CCC" w:rsidR="00E5417F" w:rsidRDefault="00136CBB" w:rsidP="00E5417F">
      <w:pPr>
        <w:rPr>
          <w:b/>
          <w:i/>
          <w:lang w:val="en-US"/>
        </w:rPr>
      </w:pPr>
      <w:r w:rsidRPr="00136CBB">
        <w:rPr>
          <w:b/>
          <w:i/>
          <w:lang w:val="en-US"/>
        </w:rPr>
        <w:t xml:space="preserve">Proposal 1: </w:t>
      </w:r>
      <w:r>
        <w:rPr>
          <w:b/>
          <w:i/>
          <w:lang w:val="en-US"/>
        </w:rPr>
        <w:t xml:space="preserve">The DL ACIR adopted to </w:t>
      </w:r>
      <w:r w:rsidR="00622418">
        <w:rPr>
          <w:b/>
          <w:i/>
          <w:lang w:val="en-US"/>
        </w:rPr>
        <w:t xml:space="preserve">derive </w:t>
      </w:r>
      <w:r>
        <w:rPr>
          <w:b/>
          <w:i/>
          <w:lang w:val="en-US"/>
        </w:rPr>
        <w:t xml:space="preserve">NR UE ACS and BS ACLR at 30GHz should be less </w:t>
      </w:r>
      <w:r w:rsidR="00CB4775">
        <w:rPr>
          <w:b/>
          <w:i/>
          <w:lang w:val="en-US"/>
        </w:rPr>
        <w:t xml:space="preserve">than </w:t>
      </w:r>
      <w:r>
        <w:rPr>
          <w:b/>
          <w:i/>
          <w:lang w:val="en-US"/>
        </w:rPr>
        <w:t xml:space="preserve">or equal </w:t>
      </w:r>
      <w:r w:rsidR="00CB4775">
        <w:rPr>
          <w:b/>
          <w:i/>
          <w:lang w:val="en-US"/>
        </w:rPr>
        <w:t xml:space="preserve">to </w:t>
      </w:r>
      <w:r w:rsidR="006A6823">
        <w:rPr>
          <w:b/>
          <w:i/>
          <w:lang w:val="en-US"/>
        </w:rPr>
        <w:t>17</w:t>
      </w:r>
      <w:r>
        <w:rPr>
          <w:b/>
          <w:i/>
          <w:lang w:val="en-US"/>
        </w:rPr>
        <w:t>dB.</w:t>
      </w:r>
    </w:p>
    <w:p w14:paraId="7CDE48EE" w14:textId="742EEC18" w:rsidR="00136CBB" w:rsidRDefault="00136CBB" w:rsidP="00136CBB">
      <w:pPr>
        <w:rPr>
          <w:b/>
          <w:i/>
          <w:lang w:val="en-US"/>
        </w:rPr>
      </w:pPr>
      <w:r w:rsidRPr="00136CBB">
        <w:rPr>
          <w:b/>
          <w:i/>
          <w:lang w:val="en-US"/>
        </w:rPr>
        <w:t xml:space="preserve">Proposal </w:t>
      </w:r>
      <w:r w:rsidR="00CB4775">
        <w:rPr>
          <w:b/>
          <w:i/>
          <w:lang w:val="en-US"/>
        </w:rPr>
        <w:t>2</w:t>
      </w:r>
      <w:r w:rsidRPr="00136CBB">
        <w:rPr>
          <w:b/>
          <w:i/>
          <w:lang w:val="en-US"/>
        </w:rPr>
        <w:t xml:space="preserve">: </w:t>
      </w:r>
      <w:r>
        <w:rPr>
          <w:b/>
          <w:i/>
          <w:lang w:val="en-US"/>
        </w:rPr>
        <w:t xml:space="preserve">The </w:t>
      </w:r>
      <w:r w:rsidR="00AE01CF">
        <w:rPr>
          <w:b/>
          <w:i/>
          <w:lang w:val="en-US"/>
        </w:rPr>
        <w:t>U</w:t>
      </w:r>
      <w:bookmarkStart w:id="1" w:name="_GoBack"/>
      <w:bookmarkEnd w:id="1"/>
      <w:r>
        <w:rPr>
          <w:b/>
          <w:i/>
          <w:lang w:val="en-US"/>
        </w:rPr>
        <w:t xml:space="preserve">L ACIR adopted to </w:t>
      </w:r>
      <w:r w:rsidR="00622418">
        <w:rPr>
          <w:b/>
          <w:i/>
          <w:lang w:val="en-US"/>
        </w:rPr>
        <w:t xml:space="preserve">derive </w:t>
      </w:r>
      <w:r>
        <w:rPr>
          <w:b/>
          <w:i/>
          <w:lang w:val="en-US"/>
        </w:rPr>
        <w:t xml:space="preserve">NR UE </w:t>
      </w:r>
      <w:r w:rsidR="00CB4775">
        <w:rPr>
          <w:b/>
          <w:i/>
          <w:lang w:val="en-US"/>
        </w:rPr>
        <w:t>ACLR</w:t>
      </w:r>
      <w:r>
        <w:rPr>
          <w:b/>
          <w:i/>
          <w:lang w:val="en-US"/>
        </w:rPr>
        <w:t xml:space="preserve"> and BS </w:t>
      </w:r>
      <w:r w:rsidR="00CB4775">
        <w:rPr>
          <w:b/>
          <w:i/>
          <w:lang w:val="en-US"/>
        </w:rPr>
        <w:t>ACS</w:t>
      </w:r>
      <w:r>
        <w:rPr>
          <w:b/>
          <w:i/>
          <w:lang w:val="en-US"/>
        </w:rPr>
        <w:t xml:space="preserve"> at 30GHz should be less </w:t>
      </w:r>
      <w:r w:rsidR="00CB4775">
        <w:rPr>
          <w:b/>
          <w:i/>
          <w:lang w:val="en-US"/>
        </w:rPr>
        <w:t xml:space="preserve">than </w:t>
      </w:r>
      <w:r>
        <w:rPr>
          <w:b/>
          <w:i/>
          <w:lang w:val="en-US"/>
        </w:rPr>
        <w:t xml:space="preserve">or equal </w:t>
      </w:r>
      <w:r w:rsidR="00CB4775">
        <w:rPr>
          <w:b/>
          <w:i/>
          <w:lang w:val="en-US"/>
        </w:rPr>
        <w:t>to15</w:t>
      </w:r>
      <w:r>
        <w:rPr>
          <w:b/>
          <w:i/>
          <w:lang w:val="en-US"/>
        </w:rPr>
        <w:t>dB.</w:t>
      </w:r>
    </w:p>
    <w:p w14:paraId="0B7FA9B0" w14:textId="71331389" w:rsidR="00AB22CC" w:rsidRPr="00AB22CC" w:rsidRDefault="00AB22CC" w:rsidP="00AB22CC">
      <w:pPr>
        <w:pStyle w:val="Caption"/>
        <w:jc w:val="center"/>
        <w:rPr>
          <w:lang w:val="en-US"/>
        </w:rPr>
      </w:pPr>
      <w:bookmarkStart w:id="2" w:name="_Ref465965344"/>
      <w:r>
        <w:lastRenderedPageBreak/>
        <w:t xml:space="preserve">Table </w:t>
      </w:r>
      <w:r>
        <w:fldChar w:fldCharType="begin"/>
      </w:r>
      <w:r>
        <w:instrText xml:space="preserve"> SEQ Table \* ARABIC </w:instrText>
      </w:r>
      <w:r>
        <w:fldChar w:fldCharType="separate"/>
      </w:r>
      <w:r w:rsidR="00D360DF">
        <w:rPr>
          <w:noProof/>
        </w:rPr>
        <w:t>1</w:t>
      </w:r>
      <w:r>
        <w:fldChar w:fldCharType="end"/>
      </w:r>
      <w:bookmarkEnd w:id="2"/>
      <w:r>
        <w:t>. Summary of simulation results for the NR adjacent channel coexistence study.</w:t>
      </w:r>
    </w:p>
    <w:tbl>
      <w:tblPr>
        <w:tblW w:w="9450" w:type="dxa"/>
        <w:tblInd w:w="-10" w:type="dxa"/>
        <w:tblLook w:val="04A0" w:firstRow="1" w:lastRow="0" w:firstColumn="1" w:lastColumn="0" w:noHBand="0" w:noVBand="1"/>
      </w:tblPr>
      <w:tblGrid>
        <w:gridCol w:w="714"/>
        <w:gridCol w:w="1412"/>
        <w:gridCol w:w="1222"/>
        <w:gridCol w:w="1185"/>
        <w:gridCol w:w="1015"/>
        <w:gridCol w:w="1382"/>
        <w:gridCol w:w="1273"/>
        <w:gridCol w:w="1247"/>
      </w:tblGrid>
      <w:tr w:rsidR="00D066E8" w:rsidRPr="00D24D18" w14:paraId="176F2D31" w14:textId="77777777" w:rsidTr="00682203">
        <w:trPr>
          <w:trHeight w:val="732"/>
        </w:trPr>
        <w:tc>
          <w:tcPr>
            <w:tcW w:w="7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453BB0" w14:textId="77777777" w:rsidR="00D24D18" w:rsidRPr="00D24D18" w:rsidRDefault="00D24D18" w:rsidP="00D24D18">
            <w:pPr>
              <w:spacing w:after="0"/>
              <w:jc w:val="center"/>
              <w:rPr>
                <w:rFonts w:ascii="Arial" w:hAnsi="Arial" w:cs="Arial"/>
                <w:b/>
                <w:bCs/>
                <w:color w:val="000000"/>
                <w:sz w:val="18"/>
                <w:szCs w:val="18"/>
                <w:lang w:val="en-US"/>
              </w:rPr>
            </w:pPr>
            <w:r w:rsidRPr="00D24D18">
              <w:rPr>
                <w:rFonts w:ascii="Arial" w:hAnsi="Arial" w:cs="Arial"/>
                <w:b/>
                <w:bCs/>
                <w:color w:val="000000"/>
                <w:sz w:val="18"/>
                <w:szCs w:val="18"/>
                <w:lang w:eastAsia="ja-JP"/>
              </w:rPr>
              <w:t>Case</w:t>
            </w:r>
          </w:p>
        </w:tc>
        <w:tc>
          <w:tcPr>
            <w:tcW w:w="1412" w:type="dxa"/>
            <w:tcBorders>
              <w:top w:val="single" w:sz="8" w:space="0" w:color="auto"/>
              <w:left w:val="nil"/>
              <w:bottom w:val="single" w:sz="8" w:space="0" w:color="auto"/>
              <w:right w:val="single" w:sz="8" w:space="0" w:color="auto"/>
            </w:tcBorders>
            <w:shd w:val="clear" w:color="auto" w:fill="auto"/>
            <w:vAlign w:val="center"/>
            <w:hideMark/>
          </w:tcPr>
          <w:p w14:paraId="000FA2C9" w14:textId="77777777" w:rsidR="00D24D18" w:rsidRPr="00D24D18" w:rsidRDefault="00D24D18" w:rsidP="00D24D18">
            <w:pPr>
              <w:spacing w:after="0"/>
              <w:jc w:val="center"/>
              <w:rPr>
                <w:rFonts w:ascii="Arial" w:hAnsi="Arial" w:cs="Arial"/>
                <w:b/>
                <w:bCs/>
                <w:color w:val="000000"/>
                <w:sz w:val="18"/>
                <w:szCs w:val="18"/>
                <w:lang w:val="en-US"/>
              </w:rPr>
            </w:pPr>
            <w:r w:rsidRPr="00D24D18">
              <w:rPr>
                <w:rFonts w:ascii="Arial" w:hAnsi="Arial" w:cs="Arial"/>
                <w:b/>
                <w:bCs/>
                <w:color w:val="000000"/>
                <w:sz w:val="18"/>
                <w:szCs w:val="18"/>
                <w:lang w:eastAsia="ja-JP"/>
              </w:rPr>
              <w:t>Aggressor BW allocation</w:t>
            </w:r>
          </w:p>
        </w:tc>
        <w:tc>
          <w:tcPr>
            <w:tcW w:w="1222" w:type="dxa"/>
            <w:tcBorders>
              <w:top w:val="single" w:sz="8" w:space="0" w:color="auto"/>
              <w:left w:val="nil"/>
              <w:bottom w:val="single" w:sz="8" w:space="0" w:color="auto"/>
              <w:right w:val="single" w:sz="8" w:space="0" w:color="auto"/>
            </w:tcBorders>
            <w:shd w:val="clear" w:color="auto" w:fill="auto"/>
            <w:vAlign w:val="center"/>
            <w:hideMark/>
          </w:tcPr>
          <w:p w14:paraId="72E4B64F" w14:textId="77777777" w:rsidR="00D24D18" w:rsidRPr="00D24D18" w:rsidRDefault="00D24D18" w:rsidP="00D24D18">
            <w:pPr>
              <w:spacing w:after="0"/>
              <w:jc w:val="center"/>
              <w:rPr>
                <w:rFonts w:ascii="Arial" w:hAnsi="Arial" w:cs="Arial"/>
                <w:b/>
                <w:bCs/>
                <w:color w:val="000000"/>
                <w:sz w:val="18"/>
                <w:szCs w:val="18"/>
                <w:lang w:val="en-US"/>
              </w:rPr>
            </w:pPr>
            <w:r w:rsidRPr="00D24D18">
              <w:rPr>
                <w:rFonts w:ascii="Arial" w:hAnsi="Arial" w:cs="Arial"/>
                <w:b/>
                <w:bCs/>
                <w:color w:val="000000"/>
                <w:sz w:val="18"/>
                <w:szCs w:val="18"/>
                <w:lang w:eastAsia="ja-JP"/>
              </w:rPr>
              <w:t>Victim BW allocation</w:t>
            </w:r>
          </w:p>
        </w:tc>
        <w:tc>
          <w:tcPr>
            <w:tcW w:w="1185" w:type="dxa"/>
            <w:tcBorders>
              <w:top w:val="single" w:sz="8" w:space="0" w:color="auto"/>
              <w:left w:val="nil"/>
              <w:bottom w:val="single" w:sz="8" w:space="0" w:color="auto"/>
              <w:right w:val="single" w:sz="8" w:space="0" w:color="auto"/>
            </w:tcBorders>
            <w:shd w:val="clear" w:color="auto" w:fill="auto"/>
            <w:vAlign w:val="center"/>
            <w:hideMark/>
          </w:tcPr>
          <w:p w14:paraId="4B32E4DE" w14:textId="77777777" w:rsidR="00D24D18" w:rsidRPr="00D24D18" w:rsidRDefault="00D24D18" w:rsidP="00D24D18">
            <w:pPr>
              <w:spacing w:after="0"/>
              <w:jc w:val="center"/>
              <w:rPr>
                <w:rFonts w:ascii="Arial" w:hAnsi="Arial" w:cs="Arial"/>
                <w:b/>
                <w:bCs/>
                <w:color w:val="000000"/>
                <w:sz w:val="18"/>
                <w:szCs w:val="18"/>
                <w:lang w:val="en-US"/>
              </w:rPr>
            </w:pPr>
            <w:r w:rsidRPr="00D24D18">
              <w:rPr>
                <w:rFonts w:ascii="Arial" w:hAnsi="Arial" w:cs="Arial"/>
                <w:b/>
                <w:bCs/>
                <w:color w:val="000000"/>
                <w:sz w:val="18"/>
                <w:szCs w:val="18"/>
                <w:lang w:eastAsia="ja-JP"/>
              </w:rPr>
              <w:t>Simulation frequency</w:t>
            </w:r>
          </w:p>
        </w:tc>
        <w:tc>
          <w:tcPr>
            <w:tcW w:w="1015" w:type="dxa"/>
            <w:tcBorders>
              <w:top w:val="single" w:sz="8" w:space="0" w:color="auto"/>
              <w:left w:val="nil"/>
              <w:bottom w:val="single" w:sz="8" w:space="0" w:color="auto"/>
              <w:right w:val="single" w:sz="8" w:space="0" w:color="auto"/>
            </w:tcBorders>
            <w:shd w:val="clear" w:color="auto" w:fill="auto"/>
            <w:vAlign w:val="center"/>
            <w:hideMark/>
          </w:tcPr>
          <w:p w14:paraId="7A82FCF9" w14:textId="77777777" w:rsidR="00D24D18" w:rsidRPr="00D24D18" w:rsidRDefault="00D24D18" w:rsidP="00D24D18">
            <w:pPr>
              <w:spacing w:after="0"/>
              <w:jc w:val="center"/>
              <w:rPr>
                <w:rFonts w:ascii="Arial" w:hAnsi="Arial" w:cs="Arial"/>
                <w:b/>
                <w:bCs/>
                <w:color w:val="000000"/>
                <w:sz w:val="18"/>
                <w:szCs w:val="18"/>
                <w:lang w:val="en-US"/>
              </w:rPr>
            </w:pPr>
            <w:r w:rsidRPr="00D24D18">
              <w:rPr>
                <w:rFonts w:ascii="Arial" w:hAnsi="Arial" w:cs="Arial"/>
                <w:b/>
                <w:bCs/>
                <w:color w:val="000000"/>
                <w:sz w:val="18"/>
                <w:szCs w:val="18"/>
                <w:lang w:eastAsia="ja-JP"/>
              </w:rPr>
              <w:t>Direction</w:t>
            </w:r>
          </w:p>
        </w:tc>
        <w:tc>
          <w:tcPr>
            <w:tcW w:w="1382" w:type="dxa"/>
            <w:tcBorders>
              <w:top w:val="single" w:sz="8" w:space="0" w:color="auto"/>
              <w:left w:val="nil"/>
              <w:bottom w:val="single" w:sz="8" w:space="0" w:color="auto"/>
              <w:right w:val="single" w:sz="8" w:space="0" w:color="auto"/>
            </w:tcBorders>
            <w:shd w:val="clear" w:color="auto" w:fill="auto"/>
            <w:vAlign w:val="center"/>
            <w:hideMark/>
          </w:tcPr>
          <w:p w14:paraId="0E2FE4FB" w14:textId="77777777" w:rsidR="00D24D18" w:rsidRPr="00D24D18" w:rsidRDefault="00D24D18" w:rsidP="00D24D18">
            <w:pPr>
              <w:spacing w:after="0"/>
              <w:jc w:val="center"/>
              <w:rPr>
                <w:rFonts w:ascii="Arial" w:hAnsi="Arial" w:cs="Arial"/>
                <w:b/>
                <w:bCs/>
                <w:color w:val="000000"/>
                <w:sz w:val="18"/>
                <w:szCs w:val="18"/>
                <w:lang w:val="en-US"/>
              </w:rPr>
            </w:pPr>
            <w:r w:rsidRPr="00D24D18">
              <w:rPr>
                <w:rFonts w:ascii="Arial" w:hAnsi="Arial" w:cs="Arial"/>
                <w:b/>
                <w:bCs/>
                <w:color w:val="000000"/>
                <w:sz w:val="18"/>
                <w:szCs w:val="18"/>
                <w:lang w:eastAsia="ja-JP"/>
              </w:rPr>
              <w:t>Deployment Scenario</w:t>
            </w:r>
          </w:p>
        </w:tc>
        <w:tc>
          <w:tcPr>
            <w:tcW w:w="1273" w:type="dxa"/>
            <w:tcBorders>
              <w:top w:val="single" w:sz="8" w:space="0" w:color="auto"/>
              <w:left w:val="nil"/>
              <w:bottom w:val="single" w:sz="8" w:space="0" w:color="auto"/>
              <w:right w:val="single" w:sz="8" w:space="0" w:color="auto"/>
            </w:tcBorders>
            <w:shd w:val="clear" w:color="auto" w:fill="auto"/>
            <w:vAlign w:val="center"/>
            <w:hideMark/>
          </w:tcPr>
          <w:p w14:paraId="5E7022DC" w14:textId="77777777" w:rsidR="00D24D18" w:rsidRPr="00D24D18" w:rsidRDefault="00D24D18" w:rsidP="00D24D18">
            <w:pPr>
              <w:spacing w:after="0"/>
              <w:jc w:val="center"/>
              <w:rPr>
                <w:rFonts w:ascii="Arial" w:hAnsi="Arial" w:cs="Arial"/>
                <w:b/>
                <w:bCs/>
                <w:color w:val="000000"/>
                <w:sz w:val="18"/>
                <w:szCs w:val="18"/>
                <w:lang w:val="en-US"/>
              </w:rPr>
            </w:pPr>
            <w:r w:rsidRPr="00D24D18">
              <w:rPr>
                <w:rFonts w:ascii="Arial" w:hAnsi="Arial" w:cs="Arial"/>
                <w:b/>
                <w:bCs/>
                <w:color w:val="000000"/>
                <w:sz w:val="18"/>
                <w:szCs w:val="18"/>
                <w:lang w:val="en-US"/>
              </w:rPr>
              <w:t>Mean</w:t>
            </w:r>
          </w:p>
        </w:tc>
        <w:tc>
          <w:tcPr>
            <w:tcW w:w="1247" w:type="dxa"/>
            <w:tcBorders>
              <w:top w:val="single" w:sz="8" w:space="0" w:color="auto"/>
              <w:left w:val="nil"/>
              <w:bottom w:val="single" w:sz="8" w:space="0" w:color="auto"/>
              <w:right w:val="single" w:sz="8" w:space="0" w:color="auto"/>
            </w:tcBorders>
            <w:shd w:val="clear" w:color="auto" w:fill="auto"/>
            <w:vAlign w:val="center"/>
            <w:hideMark/>
          </w:tcPr>
          <w:p w14:paraId="0EF63C2C" w14:textId="77777777" w:rsidR="00D24D18" w:rsidRPr="00D24D18" w:rsidRDefault="00D24D18" w:rsidP="00D24D18">
            <w:pPr>
              <w:spacing w:after="0"/>
              <w:jc w:val="center"/>
              <w:rPr>
                <w:rFonts w:ascii="Arial" w:hAnsi="Arial" w:cs="Arial"/>
                <w:b/>
                <w:bCs/>
                <w:color w:val="000000"/>
                <w:sz w:val="18"/>
                <w:szCs w:val="18"/>
                <w:lang w:val="en-US"/>
              </w:rPr>
            </w:pPr>
            <w:r w:rsidRPr="00D24D18">
              <w:rPr>
                <w:rFonts w:ascii="Arial" w:hAnsi="Arial" w:cs="Arial"/>
                <w:b/>
                <w:bCs/>
                <w:color w:val="000000"/>
                <w:sz w:val="18"/>
                <w:szCs w:val="18"/>
                <w:lang w:val="en-US"/>
              </w:rPr>
              <w:t>5%-tile</w:t>
            </w:r>
          </w:p>
        </w:tc>
      </w:tr>
      <w:tr w:rsidR="00D066E8" w:rsidRPr="00D24D18" w14:paraId="25A700FA" w14:textId="77777777" w:rsidTr="00682203">
        <w:trPr>
          <w:trHeight w:val="300"/>
        </w:trPr>
        <w:tc>
          <w:tcPr>
            <w:tcW w:w="714" w:type="dxa"/>
            <w:tcBorders>
              <w:top w:val="nil"/>
              <w:left w:val="single" w:sz="8" w:space="0" w:color="auto"/>
              <w:bottom w:val="single" w:sz="8" w:space="0" w:color="auto"/>
              <w:right w:val="single" w:sz="8" w:space="0" w:color="auto"/>
            </w:tcBorders>
            <w:shd w:val="clear" w:color="000000" w:fill="DDEBF7"/>
            <w:vAlign w:val="center"/>
            <w:hideMark/>
          </w:tcPr>
          <w:p w14:paraId="1F257609"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1</w:t>
            </w:r>
          </w:p>
        </w:tc>
        <w:tc>
          <w:tcPr>
            <w:tcW w:w="1412" w:type="dxa"/>
            <w:tcBorders>
              <w:top w:val="nil"/>
              <w:left w:val="nil"/>
              <w:bottom w:val="single" w:sz="8" w:space="0" w:color="auto"/>
              <w:right w:val="single" w:sz="8" w:space="0" w:color="auto"/>
            </w:tcBorders>
            <w:shd w:val="clear" w:color="000000" w:fill="DDEBF7"/>
            <w:vAlign w:val="center"/>
            <w:hideMark/>
          </w:tcPr>
          <w:p w14:paraId="7B2E0AD0"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200MHz</w:t>
            </w:r>
          </w:p>
        </w:tc>
        <w:tc>
          <w:tcPr>
            <w:tcW w:w="1222" w:type="dxa"/>
            <w:tcBorders>
              <w:top w:val="nil"/>
              <w:left w:val="nil"/>
              <w:bottom w:val="single" w:sz="8" w:space="0" w:color="auto"/>
              <w:right w:val="single" w:sz="8" w:space="0" w:color="auto"/>
            </w:tcBorders>
            <w:shd w:val="clear" w:color="000000" w:fill="DDEBF7"/>
            <w:vAlign w:val="center"/>
            <w:hideMark/>
          </w:tcPr>
          <w:p w14:paraId="3061BBB5"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200MHz</w:t>
            </w:r>
          </w:p>
        </w:tc>
        <w:tc>
          <w:tcPr>
            <w:tcW w:w="1185" w:type="dxa"/>
            <w:tcBorders>
              <w:top w:val="nil"/>
              <w:left w:val="nil"/>
              <w:bottom w:val="single" w:sz="8" w:space="0" w:color="auto"/>
              <w:right w:val="single" w:sz="8" w:space="0" w:color="auto"/>
            </w:tcBorders>
            <w:shd w:val="clear" w:color="000000" w:fill="DDEBF7"/>
            <w:vAlign w:val="center"/>
            <w:hideMark/>
          </w:tcPr>
          <w:p w14:paraId="306AE932"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30 GHz</w:t>
            </w:r>
          </w:p>
        </w:tc>
        <w:tc>
          <w:tcPr>
            <w:tcW w:w="1015" w:type="dxa"/>
            <w:tcBorders>
              <w:top w:val="nil"/>
              <w:left w:val="nil"/>
              <w:bottom w:val="single" w:sz="8" w:space="0" w:color="auto"/>
              <w:right w:val="single" w:sz="8" w:space="0" w:color="auto"/>
            </w:tcBorders>
            <w:shd w:val="clear" w:color="000000" w:fill="DDEBF7"/>
            <w:vAlign w:val="center"/>
            <w:hideMark/>
          </w:tcPr>
          <w:p w14:paraId="1080DFDC"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DL to DL</w:t>
            </w:r>
          </w:p>
        </w:tc>
        <w:tc>
          <w:tcPr>
            <w:tcW w:w="1382" w:type="dxa"/>
            <w:tcBorders>
              <w:top w:val="nil"/>
              <w:left w:val="nil"/>
              <w:bottom w:val="single" w:sz="8" w:space="0" w:color="auto"/>
              <w:right w:val="single" w:sz="8" w:space="0" w:color="auto"/>
            </w:tcBorders>
            <w:shd w:val="clear" w:color="000000" w:fill="DDEBF7"/>
            <w:vAlign w:val="center"/>
            <w:hideMark/>
          </w:tcPr>
          <w:p w14:paraId="3B18B358"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Indoor hotspot</w:t>
            </w:r>
          </w:p>
        </w:tc>
        <w:tc>
          <w:tcPr>
            <w:tcW w:w="1273" w:type="dxa"/>
            <w:tcBorders>
              <w:top w:val="nil"/>
              <w:left w:val="nil"/>
              <w:bottom w:val="single" w:sz="8" w:space="0" w:color="auto"/>
              <w:right w:val="single" w:sz="8" w:space="0" w:color="auto"/>
            </w:tcBorders>
            <w:shd w:val="clear" w:color="000000" w:fill="DDEBF7"/>
            <w:noWrap/>
            <w:vAlign w:val="center"/>
            <w:hideMark/>
          </w:tcPr>
          <w:p w14:paraId="3DA50831" w14:textId="77777777" w:rsidR="00D24D18" w:rsidRPr="00D24D18" w:rsidRDefault="00D24D18" w:rsidP="00D24D18">
            <w:pPr>
              <w:spacing w:after="0"/>
              <w:jc w:val="center"/>
              <w:rPr>
                <w:rFonts w:ascii="Calibri" w:hAnsi="Calibri"/>
                <w:color w:val="000000"/>
                <w:sz w:val="22"/>
                <w:szCs w:val="22"/>
                <w:lang w:val="en-US"/>
              </w:rPr>
            </w:pPr>
            <w:r w:rsidRPr="00D24D18">
              <w:rPr>
                <w:rFonts w:ascii="Calibri" w:hAnsi="Calibri"/>
                <w:color w:val="000000"/>
                <w:sz w:val="22"/>
                <w:szCs w:val="22"/>
                <w:lang w:val="en-US"/>
              </w:rPr>
              <w:t>16.18</w:t>
            </w:r>
          </w:p>
        </w:tc>
        <w:tc>
          <w:tcPr>
            <w:tcW w:w="1247" w:type="dxa"/>
            <w:tcBorders>
              <w:top w:val="nil"/>
              <w:left w:val="nil"/>
              <w:bottom w:val="single" w:sz="8" w:space="0" w:color="auto"/>
              <w:right w:val="single" w:sz="8" w:space="0" w:color="auto"/>
            </w:tcBorders>
            <w:shd w:val="clear" w:color="000000" w:fill="DDEBF7"/>
            <w:noWrap/>
            <w:vAlign w:val="center"/>
            <w:hideMark/>
          </w:tcPr>
          <w:p w14:paraId="7F3815BD" w14:textId="77777777" w:rsidR="00D24D18" w:rsidRPr="00D24D18" w:rsidRDefault="00D24D18" w:rsidP="00D24D18">
            <w:pPr>
              <w:spacing w:after="0"/>
              <w:jc w:val="center"/>
              <w:rPr>
                <w:rFonts w:ascii="Calibri" w:hAnsi="Calibri"/>
                <w:color w:val="000000"/>
                <w:sz w:val="22"/>
                <w:szCs w:val="22"/>
                <w:lang w:val="en-US"/>
              </w:rPr>
            </w:pPr>
            <w:r w:rsidRPr="00D24D18">
              <w:rPr>
                <w:rFonts w:ascii="Calibri" w:hAnsi="Calibri"/>
                <w:color w:val="000000"/>
                <w:sz w:val="22"/>
                <w:szCs w:val="22"/>
                <w:lang w:val="en-US"/>
              </w:rPr>
              <w:t>12.62</w:t>
            </w:r>
          </w:p>
        </w:tc>
      </w:tr>
      <w:tr w:rsidR="00D066E8" w:rsidRPr="00D24D18" w14:paraId="7AA83DE0" w14:textId="77777777" w:rsidTr="00682203">
        <w:trPr>
          <w:trHeight w:val="300"/>
        </w:trPr>
        <w:tc>
          <w:tcPr>
            <w:tcW w:w="714" w:type="dxa"/>
            <w:tcBorders>
              <w:top w:val="nil"/>
              <w:left w:val="single" w:sz="8" w:space="0" w:color="auto"/>
              <w:bottom w:val="single" w:sz="8" w:space="0" w:color="auto"/>
              <w:right w:val="single" w:sz="8" w:space="0" w:color="auto"/>
            </w:tcBorders>
            <w:shd w:val="clear" w:color="000000" w:fill="DDEBF7"/>
            <w:vAlign w:val="center"/>
            <w:hideMark/>
          </w:tcPr>
          <w:p w14:paraId="12DD407A"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2</w:t>
            </w:r>
          </w:p>
        </w:tc>
        <w:tc>
          <w:tcPr>
            <w:tcW w:w="1412" w:type="dxa"/>
            <w:tcBorders>
              <w:top w:val="nil"/>
              <w:left w:val="nil"/>
              <w:bottom w:val="single" w:sz="8" w:space="0" w:color="auto"/>
              <w:right w:val="single" w:sz="8" w:space="0" w:color="auto"/>
            </w:tcBorders>
            <w:shd w:val="clear" w:color="000000" w:fill="DDEBF7"/>
            <w:vAlign w:val="center"/>
            <w:hideMark/>
          </w:tcPr>
          <w:p w14:paraId="4CFF5100"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200MHz</w:t>
            </w:r>
          </w:p>
        </w:tc>
        <w:tc>
          <w:tcPr>
            <w:tcW w:w="1222" w:type="dxa"/>
            <w:tcBorders>
              <w:top w:val="nil"/>
              <w:left w:val="nil"/>
              <w:bottom w:val="single" w:sz="8" w:space="0" w:color="auto"/>
              <w:right w:val="single" w:sz="8" w:space="0" w:color="auto"/>
            </w:tcBorders>
            <w:shd w:val="clear" w:color="000000" w:fill="DDEBF7"/>
            <w:vAlign w:val="center"/>
            <w:hideMark/>
          </w:tcPr>
          <w:p w14:paraId="79D34E2E"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200MHz</w:t>
            </w:r>
          </w:p>
        </w:tc>
        <w:tc>
          <w:tcPr>
            <w:tcW w:w="1185" w:type="dxa"/>
            <w:tcBorders>
              <w:top w:val="nil"/>
              <w:left w:val="nil"/>
              <w:bottom w:val="single" w:sz="8" w:space="0" w:color="auto"/>
              <w:right w:val="single" w:sz="8" w:space="0" w:color="auto"/>
            </w:tcBorders>
            <w:shd w:val="clear" w:color="000000" w:fill="DDEBF7"/>
            <w:vAlign w:val="center"/>
            <w:hideMark/>
          </w:tcPr>
          <w:p w14:paraId="3A6B2B1B"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30 GHz</w:t>
            </w:r>
          </w:p>
        </w:tc>
        <w:tc>
          <w:tcPr>
            <w:tcW w:w="1015" w:type="dxa"/>
            <w:tcBorders>
              <w:top w:val="nil"/>
              <w:left w:val="nil"/>
              <w:bottom w:val="single" w:sz="8" w:space="0" w:color="auto"/>
              <w:right w:val="single" w:sz="8" w:space="0" w:color="auto"/>
            </w:tcBorders>
            <w:shd w:val="clear" w:color="000000" w:fill="DDEBF7"/>
            <w:vAlign w:val="center"/>
            <w:hideMark/>
          </w:tcPr>
          <w:p w14:paraId="3C616FF8"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DL to DL</w:t>
            </w:r>
          </w:p>
        </w:tc>
        <w:tc>
          <w:tcPr>
            <w:tcW w:w="1382" w:type="dxa"/>
            <w:tcBorders>
              <w:top w:val="nil"/>
              <w:left w:val="nil"/>
              <w:bottom w:val="single" w:sz="8" w:space="0" w:color="auto"/>
              <w:right w:val="single" w:sz="8" w:space="0" w:color="auto"/>
            </w:tcBorders>
            <w:shd w:val="clear" w:color="000000" w:fill="DDEBF7"/>
            <w:vAlign w:val="center"/>
            <w:hideMark/>
          </w:tcPr>
          <w:p w14:paraId="011149AD"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Urban macro</w:t>
            </w:r>
          </w:p>
        </w:tc>
        <w:tc>
          <w:tcPr>
            <w:tcW w:w="1273" w:type="dxa"/>
            <w:tcBorders>
              <w:top w:val="nil"/>
              <w:left w:val="nil"/>
              <w:bottom w:val="single" w:sz="8" w:space="0" w:color="auto"/>
              <w:right w:val="single" w:sz="8" w:space="0" w:color="auto"/>
            </w:tcBorders>
            <w:shd w:val="clear" w:color="000000" w:fill="DDEBF7"/>
            <w:noWrap/>
            <w:vAlign w:val="center"/>
            <w:hideMark/>
          </w:tcPr>
          <w:p w14:paraId="0F441764" w14:textId="77777777" w:rsidR="00D24D18" w:rsidRPr="00D24D18" w:rsidRDefault="00D24D18" w:rsidP="00D24D18">
            <w:pPr>
              <w:spacing w:after="0"/>
              <w:jc w:val="center"/>
              <w:rPr>
                <w:rFonts w:ascii="Calibri" w:hAnsi="Calibri"/>
                <w:color w:val="000000"/>
                <w:sz w:val="22"/>
                <w:szCs w:val="22"/>
                <w:lang w:val="en-US"/>
              </w:rPr>
            </w:pPr>
            <w:r w:rsidRPr="00D24D18">
              <w:rPr>
                <w:rFonts w:ascii="Calibri" w:hAnsi="Calibri"/>
                <w:color w:val="000000"/>
                <w:sz w:val="22"/>
                <w:szCs w:val="22"/>
                <w:lang w:val="en-US"/>
              </w:rPr>
              <w:t>12.64</w:t>
            </w:r>
          </w:p>
        </w:tc>
        <w:tc>
          <w:tcPr>
            <w:tcW w:w="1247" w:type="dxa"/>
            <w:tcBorders>
              <w:top w:val="nil"/>
              <w:left w:val="nil"/>
              <w:bottom w:val="single" w:sz="8" w:space="0" w:color="auto"/>
              <w:right w:val="single" w:sz="8" w:space="0" w:color="auto"/>
            </w:tcBorders>
            <w:shd w:val="clear" w:color="000000" w:fill="DDEBF7"/>
            <w:noWrap/>
            <w:vAlign w:val="center"/>
            <w:hideMark/>
          </w:tcPr>
          <w:p w14:paraId="42420AE1" w14:textId="77777777" w:rsidR="00D24D18" w:rsidRPr="00D24D18" w:rsidRDefault="00D24D18" w:rsidP="00D24D18">
            <w:pPr>
              <w:spacing w:after="0"/>
              <w:jc w:val="center"/>
              <w:rPr>
                <w:rFonts w:ascii="Calibri" w:hAnsi="Calibri"/>
                <w:color w:val="000000"/>
                <w:sz w:val="22"/>
                <w:szCs w:val="22"/>
                <w:lang w:val="en-US"/>
              </w:rPr>
            </w:pPr>
            <w:r w:rsidRPr="00D24D18">
              <w:rPr>
                <w:rFonts w:ascii="Calibri" w:hAnsi="Calibri"/>
                <w:color w:val="000000"/>
                <w:sz w:val="22"/>
                <w:szCs w:val="22"/>
                <w:lang w:val="en-US"/>
              </w:rPr>
              <w:t>NA</w:t>
            </w:r>
          </w:p>
        </w:tc>
      </w:tr>
      <w:tr w:rsidR="00D066E8" w:rsidRPr="00D24D18" w14:paraId="030BF10B" w14:textId="77777777" w:rsidTr="00682203">
        <w:trPr>
          <w:trHeight w:val="300"/>
        </w:trPr>
        <w:tc>
          <w:tcPr>
            <w:tcW w:w="714" w:type="dxa"/>
            <w:tcBorders>
              <w:top w:val="nil"/>
              <w:left w:val="single" w:sz="8" w:space="0" w:color="auto"/>
              <w:bottom w:val="single" w:sz="8" w:space="0" w:color="auto"/>
              <w:right w:val="single" w:sz="8" w:space="0" w:color="auto"/>
            </w:tcBorders>
            <w:shd w:val="clear" w:color="000000" w:fill="DDEBF7"/>
            <w:vAlign w:val="center"/>
            <w:hideMark/>
          </w:tcPr>
          <w:p w14:paraId="235AC4B2"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3</w:t>
            </w:r>
          </w:p>
        </w:tc>
        <w:tc>
          <w:tcPr>
            <w:tcW w:w="1412" w:type="dxa"/>
            <w:tcBorders>
              <w:top w:val="nil"/>
              <w:left w:val="nil"/>
              <w:bottom w:val="single" w:sz="8" w:space="0" w:color="auto"/>
              <w:right w:val="single" w:sz="8" w:space="0" w:color="auto"/>
            </w:tcBorders>
            <w:shd w:val="clear" w:color="000000" w:fill="DDEBF7"/>
            <w:vAlign w:val="center"/>
            <w:hideMark/>
          </w:tcPr>
          <w:p w14:paraId="6C38A020"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200MHz</w:t>
            </w:r>
          </w:p>
        </w:tc>
        <w:tc>
          <w:tcPr>
            <w:tcW w:w="1222" w:type="dxa"/>
            <w:tcBorders>
              <w:top w:val="nil"/>
              <w:left w:val="nil"/>
              <w:bottom w:val="single" w:sz="8" w:space="0" w:color="auto"/>
              <w:right w:val="single" w:sz="8" w:space="0" w:color="auto"/>
            </w:tcBorders>
            <w:shd w:val="clear" w:color="000000" w:fill="DDEBF7"/>
            <w:vAlign w:val="center"/>
            <w:hideMark/>
          </w:tcPr>
          <w:p w14:paraId="5363E60F"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200MHz</w:t>
            </w:r>
          </w:p>
        </w:tc>
        <w:tc>
          <w:tcPr>
            <w:tcW w:w="1185" w:type="dxa"/>
            <w:tcBorders>
              <w:top w:val="nil"/>
              <w:left w:val="nil"/>
              <w:bottom w:val="single" w:sz="8" w:space="0" w:color="auto"/>
              <w:right w:val="single" w:sz="8" w:space="0" w:color="auto"/>
            </w:tcBorders>
            <w:shd w:val="clear" w:color="000000" w:fill="DDEBF7"/>
            <w:vAlign w:val="center"/>
            <w:hideMark/>
          </w:tcPr>
          <w:p w14:paraId="3A7D9FCC"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30 GHz</w:t>
            </w:r>
          </w:p>
        </w:tc>
        <w:tc>
          <w:tcPr>
            <w:tcW w:w="1015" w:type="dxa"/>
            <w:tcBorders>
              <w:top w:val="nil"/>
              <w:left w:val="nil"/>
              <w:bottom w:val="single" w:sz="8" w:space="0" w:color="auto"/>
              <w:right w:val="single" w:sz="8" w:space="0" w:color="auto"/>
            </w:tcBorders>
            <w:shd w:val="clear" w:color="000000" w:fill="DDEBF7"/>
            <w:vAlign w:val="center"/>
            <w:hideMark/>
          </w:tcPr>
          <w:p w14:paraId="0068207E"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DL to DL</w:t>
            </w:r>
          </w:p>
        </w:tc>
        <w:tc>
          <w:tcPr>
            <w:tcW w:w="1382" w:type="dxa"/>
            <w:tcBorders>
              <w:top w:val="nil"/>
              <w:left w:val="nil"/>
              <w:bottom w:val="single" w:sz="8" w:space="0" w:color="auto"/>
              <w:right w:val="single" w:sz="8" w:space="0" w:color="auto"/>
            </w:tcBorders>
            <w:shd w:val="clear" w:color="000000" w:fill="DDEBF7"/>
            <w:vAlign w:val="center"/>
            <w:hideMark/>
          </w:tcPr>
          <w:p w14:paraId="35B32AE9"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Dense urban</w:t>
            </w:r>
          </w:p>
        </w:tc>
        <w:tc>
          <w:tcPr>
            <w:tcW w:w="1273" w:type="dxa"/>
            <w:tcBorders>
              <w:top w:val="nil"/>
              <w:left w:val="nil"/>
              <w:bottom w:val="single" w:sz="8" w:space="0" w:color="auto"/>
              <w:right w:val="single" w:sz="8" w:space="0" w:color="auto"/>
            </w:tcBorders>
            <w:shd w:val="clear" w:color="000000" w:fill="DDEBF7"/>
            <w:noWrap/>
            <w:vAlign w:val="center"/>
            <w:hideMark/>
          </w:tcPr>
          <w:p w14:paraId="3581FBC5" w14:textId="77777777" w:rsidR="00D24D18" w:rsidRPr="00D24D18" w:rsidRDefault="00D24D18" w:rsidP="00D24D18">
            <w:pPr>
              <w:spacing w:after="0"/>
              <w:jc w:val="center"/>
              <w:rPr>
                <w:rFonts w:ascii="Calibri" w:hAnsi="Calibri"/>
                <w:color w:val="000000"/>
                <w:sz w:val="22"/>
                <w:szCs w:val="22"/>
                <w:lang w:val="en-US"/>
              </w:rPr>
            </w:pPr>
            <w:r w:rsidRPr="00D24D18">
              <w:rPr>
                <w:rFonts w:ascii="Calibri" w:hAnsi="Calibri"/>
                <w:color w:val="000000"/>
                <w:sz w:val="22"/>
                <w:szCs w:val="22"/>
                <w:lang w:val="en-US"/>
              </w:rPr>
              <w:t>8.4</w:t>
            </w:r>
          </w:p>
        </w:tc>
        <w:tc>
          <w:tcPr>
            <w:tcW w:w="1247" w:type="dxa"/>
            <w:tcBorders>
              <w:top w:val="nil"/>
              <w:left w:val="nil"/>
              <w:bottom w:val="single" w:sz="8" w:space="0" w:color="auto"/>
              <w:right w:val="single" w:sz="8" w:space="0" w:color="auto"/>
            </w:tcBorders>
            <w:shd w:val="clear" w:color="000000" w:fill="DDEBF7"/>
            <w:noWrap/>
            <w:vAlign w:val="center"/>
            <w:hideMark/>
          </w:tcPr>
          <w:p w14:paraId="56A49599" w14:textId="77777777" w:rsidR="00D24D18" w:rsidRPr="00D24D18" w:rsidRDefault="00D24D18" w:rsidP="00D24D18">
            <w:pPr>
              <w:spacing w:after="0"/>
              <w:jc w:val="center"/>
              <w:rPr>
                <w:rFonts w:ascii="Calibri" w:hAnsi="Calibri"/>
                <w:color w:val="000000"/>
                <w:sz w:val="22"/>
                <w:szCs w:val="22"/>
                <w:lang w:val="en-US"/>
              </w:rPr>
            </w:pPr>
            <w:r w:rsidRPr="00D24D18">
              <w:rPr>
                <w:rFonts w:ascii="Calibri" w:hAnsi="Calibri"/>
                <w:color w:val="000000"/>
                <w:sz w:val="22"/>
                <w:szCs w:val="22"/>
                <w:lang w:val="en-US"/>
              </w:rPr>
              <w:t>10.54</w:t>
            </w:r>
          </w:p>
        </w:tc>
      </w:tr>
      <w:tr w:rsidR="00D066E8" w:rsidRPr="00D24D18" w14:paraId="4746FBCE" w14:textId="77777777" w:rsidTr="00682203">
        <w:trPr>
          <w:trHeight w:val="300"/>
        </w:trPr>
        <w:tc>
          <w:tcPr>
            <w:tcW w:w="714" w:type="dxa"/>
            <w:tcBorders>
              <w:top w:val="nil"/>
              <w:left w:val="single" w:sz="8" w:space="0" w:color="auto"/>
              <w:bottom w:val="single" w:sz="8" w:space="0" w:color="auto"/>
              <w:right w:val="single" w:sz="8" w:space="0" w:color="auto"/>
            </w:tcBorders>
            <w:shd w:val="clear" w:color="000000" w:fill="FFD966"/>
            <w:vAlign w:val="center"/>
            <w:hideMark/>
          </w:tcPr>
          <w:p w14:paraId="7C2ADA08"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4</w:t>
            </w:r>
          </w:p>
        </w:tc>
        <w:tc>
          <w:tcPr>
            <w:tcW w:w="1412" w:type="dxa"/>
            <w:tcBorders>
              <w:top w:val="nil"/>
              <w:left w:val="nil"/>
              <w:bottom w:val="single" w:sz="8" w:space="0" w:color="auto"/>
              <w:right w:val="single" w:sz="8" w:space="0" w:color="auto"/>
            </w:tcBorders>
            <w:shd w:val="clear" w:color="000000" w:fill="FFD966"/>
            <w:vAlign w:val="center"/>
            <w:hideMark/>
          </w:tcPr>
          <w:p w14:paraId="12FB571A"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200MHz</w:t>
            </w:r>
          </w:p>
        </w:tc>
        <w:tc>
          <w:tcPr>
            <w:tcW w:w="1222" w:type="dxa"/>
            <w:tcBorders>
              <w:top w:val="nil"/>
              <w:left w:val="nil"/>
              <w:bottom w:val="single" w:sz="8" w:space="0" w:color="auto"/>
              <w:right w:val="single" w:sz="8" w:space="0" w:color="auto"/>
            </w:tcBorders>
            <w:shd w:val="clear" w:color="000000" w:fill="FFD966"/>
            <w:vAlign w:val="center"/>
            <w:hideMark/>
          </w:tcPr>
          <w:p w14:paraId="4F49441B"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200MHz</w:t>
            </w:r>
          </w:p>
        </w:tc>
        <w:tc>
          <w:tcPr>
            <w:tcW w:w="1185" w:type="dxa"/>
            <w:tcBorders>
              <w:top w:val="nil"/>
              <w:left w:val="nil"/>
              <w:bottom w:val="single" w:sz="8" w:space="0" w:color="auto"/>
              <w:right w:val="single" w:sz="8" w:space="0" w:color="auto"/>
            </w:tcBorders>
            <w:shd w:val="clear" w:color="000000" w:fill="FFD966"/>
            <w:vAlign w:val="center"/>
            <w:hideMark/>
          </w:tcPr>
          <w:p w14:paraId="48C69A79"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30 GHz</w:t>
            </w:r>
          </w:p>
        </w:tc>
        <w:tc>
          <w:tcPr>
            <w:tcW w:w="1015" w:type="dxa"/>
            <w:tcBorders>
              <w:top w:val="nil"/>
              <w:left w:val="nil"/>
              <w:bottom w:val="single" w:sz="8" w:space="0" w:color="auto"/>
              <w:right w:val="single" w:sz="8" w:space="0" w:color="auto"/>
            </w:tcBorders>
            <w:shd w:val="clear" w:color="000000" w:fill="FFD966"/>
            <w:vAlign w:val="center"/>
            <w:hideMark/>
          </w:tcPr>
          <w:p w14:paraId="0620E58F"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UL to UL</w:t>
            </w:r>
          </w:p>
        </w:tc>
        <w:tc>
          <w:tcPr>
            <w:tcW w:w="1382" w:type="dxa"/>
            <w:tcBorders>
              <w:top w:val="nil"/>
              <w:left w:val="nil"/>
              <w:bottom w:val="single" w:sz="8" w:space="0" w:color="auto"/>
              <w:right w:val="single" w:sz="8" w:space="0" w:color="auto"/>
            </w:tcBorders>
            <w:shd w:val="clear" w:color="000000" w:fill="FFD966"/>
            <w:vAlign w:val="center"/>
            <w:hideMark/>
          </w:tcPr>
          <w:p w14:paraId="37134B02"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Indoor hotspot</w:t>
            </w:r>
          </w:p>
        </w:tc>
        <w:tc>
          <w:tcPr>
            <w:tcW w:w="1273" w:type="dxa"/>
            <w:tcBorders>
              <w:top w:val="nil"/>
              <w:left w:val="nil"/>
              <w:bottom w:val="single" w:sz="8" w:space="0" w:color="auto"/>
              <w:right w:val="single" w:sz="8" w:space="0" w:color="auto"/>
            </w:tcBorders>
            <w:shd w:val="clear" w:color="000000" w:fill="FFD966"/>
            <w:noWrap/>
            <w:vAlign w:val="center"/>
            <w:hideMark/>
          </w:tcPr>
          <w:p w14:paraId="7A315E12" w14:textId="77777777" w:rsidR="00D24D18" w:rsidRPr="00D24D18" w:rsidRDefault="00D24D18" w:rsidP="00D24D18">
            <w:pPr>
              <w:spacing w:after="0"/>
              <w:jc w:val="center"/>
              <w:rPr>
                <w:rFonts w:ascii="Calibri" w:hAnsi="Calibri"/>
                <w:color w:val="000000"/>
                <w:sz w:val="22"/>
                <w:szCs w:val="22"/>
                <w:lang w:val="en-US"/>
              </w:rPr>
            </w:pPr>
            <w:r w:rsidRPr="00D24D18">
              <w:rPr>
                <w:rFonts w:ascii="Calibri" w:hAnsi="Calibri"/>
                <w:color w:val="000000"/>
                <w:sz w:val="22"/>
                <w:szCs w:val="22"/>
                <w:lang w:val="en-US"/>
              </w:rPr>
              <w:t>8.89</w:t>
            </w:r>
          </w:p>
        </w:tc>
        <w:tc>
          <w:tcPr>
            <w:tcW w:w="1247" w:type="dxa"/>
            <w:tcBorders>
              <w:top w:val="nil"/>
              <w:left w:val="nil"/>
              <w:bottom w:val="single" w:sz="8" w:space="0" w:color="auto"/>
              <w:right w:val="single" w:sz="8" w:space="0" w:color="auto"/>
            </w:tcBorders>
            <w:shd w:val="clear" w:color="000000" w:fill="FFD966"/>
            <w:noWrap/>
            <w:vAlign w:val="center"/>
            <w:hideMark/>
          </w:tcPr>
          <w:p w14:paraId="52F2CA48" w14:textId="77777777" w:rsidR="00D24D18" w:rsidRPr="00D24D18" w:rsidRDefault="00D24D18" w:rsidP="00D24D18">
            <w:pPr>
              <w:spacing w:after="0"/>
              <w:jc w:val="center"/>
              <w:rPr>
                <w:rFonts w:ascii="Calibri" w:hAnsi="Calibri"/>
                <w:color w:val="000000"/>
                <w:sz w:val="22"/>
                <w:szCs w:val="22"/>
                <w:lang w:val="en-US"/>
              </w:rPr>
            </w:pPr>
            <w:r w:rsidRPr="00D24D18">
              <w:rPr>
                <w:rFonts w:ascii="Calibri" w:hAnsi="Calibri"/>
                <w:color w:val="000000"/>
                <w:sz w:val="22"/>
                <w:szCs w:val="22"/>
                <w:lang w:val="en-US"/>
              </w:rPr>
              <w:t>14.5</w:t>
            </w:r>
          </w:p>
        </w:tc>
      </w:tr>
      <w:tr w:rsidR="00D066E8" w:rsidRPr="00D24D18" w14:paraId="22CC0989" w14:textId="77777777" w:rsidTr="00682203">
        <w:trPr>
          <w:trHeight w:val="300"/>
        </w:trPr>
        <w:tc>
          <w:tcPr>
            <w:tcW w:w="714" w:type="dxa"/>
            <w:tcBorders>
              <w:top w:val="nil"/>
              <w:left w:val="single" w:sz="8" w:space="0" w:color="auto"/>
              <w:bottom w:val="single" w:sz="8" w:space="0" w:color="auto"/>
              <w:right w:val="single" w:sz="8" w:space="0" w:color="auto"/>
            </w:tcBorders>
            <w:shd w:val="clear" w:color="000000" w:fill="FFD966"/>
            <w:vAlign w:val="center"/>
            <w:hideMark/>
          </w:tcPr>
          <w:p w14:paraId="0936EAE7"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5</w:t>
            </w:r>
          </w:p>
        </w:tc>
        <w:tc>
          <w:tcPr>
            <w:tcW w:w="1412" w:type="dxa"/>
            <w:tcBorders>
              <w:top w:val="nil"/>
              <w:left w:val="nil"/>
              <w:bottom w:val="single" w:sz="8" w:space="0" w:color="auto"/>
              <w:right w:val="single" w:sz="8" w:space="0" w:color="auto"/>
            </w:tcBorders>
            <w:shd w:val="clear" w:color="000000" w:fill="FFD966"/>
            <w:vAlign w:val="center"/>
            <w:hideMark/>
          </w:tcPr>
          <w:p w14:paraId="1ADE43F6"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200MHz</w:t>
            </w:r>
          </w:p>
        </w:tc>
        <w:tc>
          <w:tcPr>
            <w:tcW w:w="1222" w:type="dxa"/>
            <w:tcBorders>
              <w:top w:val="nil"/>
              <w:left w:val="nil"/>
              <w:bottom w:val="single" w:sz="8" w:space="0" w:color="auto"/>
              <w:right w:val="single" w:sz="8" w:space="0" w:color="auto"/>
            </w:tcBorders>
            <w:shd w:val="clear" w:color="000000" w:fill="FFD966"/>
            <w:vAlign w:val="center"/>
            <w:hideMark/>
          </w:tcPr>
          <w:p w14:paraId="5BE1F601"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200MHz</w:t>
            </w:r>
          </w:p>
        </w:tc>
        <w:tc>
          <w:tcPr>
            <w:tcW w:w="1185" w:type="dxa"/>
            <w:tcBorders>
              <w:top w:val="nil"/>
              <w:left w:val="nil"/>
              <w:bottom w:val="single" w:sz="8" w:space="0" w:color="auto"/>
              <w:right w:val="single" w:sz="8" w:space="0" w:color="auto"/>
            </w:tcBorders>
            <w:shd w:val="clear" w:color="000000" w:fill="FFD966"/>
            <w:vAlign w:val="center"/>
            <w:hideMark/>
          </w:tcPr>
          <w:p w14:paraId="06A762B4"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30 GHz</w:t>
            </w:r>
          </w:p>
        </w:tc>
        <w:tc>
          <w:tcPr>
            <w:tcW w:w="1015" w:type="dxa"/>
            <w:tcBorders>
              <w:top w:val="nil"/>
              <w:left w:val="nil"/>
              <w:bottom w:val="single" w:sz="8" w:space="0" w:color="auto"/>
              <w:right w:val="single" w:sz="8" w:space="0" w:color="auto"/>
            </w:tcBorders>
            <w:shd w:val="clear" w:color="000000" w:fill="FFD966"/>
            <w:vAlign w:val="center"/>
            <w:hideMark/>
          </w:tcPr>
          <w:p w14:paraId="5E823ACD"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UL to UL</w:t>
            </w:r>
          </w:p>
        </w:tc>
        <w:tc>
          <w:tcPr>
            <w:tcW w:w="1382" w:type="dxa"/>
            <w:tcBorders>
              <w:top w:val="nil"/>
              <w:left w:val="nil"/>
              <w:bottom w:val="single" w:sz="8" w:space="0" w:color="auto"/>
              <w:right w:val="single" w:sz="8" w:space="0" w:color="auto"/>
            </w:tcBorders>
            <w:shd w:val="clear" w:color="000000" w:fill="FFD966"/>
            <w:vAlign w:val="center"/>
            <w:hideMark/>
          </w:tcPr>
          <w:p w14:paraId="4516B924"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Urban macro</w:t>
            </w:r>
          </w:p>
        </w:tc>
        <w:tc>
          <w:tcPr>
            <w:tcW w:w="1273" w:type="dxa"/>
            <w:tcBorders>
              <w:top w:val="nil"/>
              <w:left w:val="nil"/>
              <w:bottom w:val="single" w:sz="8" w:space="0" w:color="auto"/>
              <w:right w:val="single" w:sz="8" w:space="0" w:color="auto"/>
            </w:tcBorders>
            <w:shd w:val="clear" w:color="000000" w:fill="FFD966"/>
            <w:noWrap/>
            <w:vAlign w:val="center"/>
            <w:hideMark/>
          </w:tcPr>
          <w:p w14:paraId="13C97EC9" w14:textId="77777777" w:rsidR="00D24D18" w:rsidRPr="00D24D18" w:rsidRDefault="00D24D18" w:rsidP="00D24D18">
            <w:pPr>
              <w:spacing w:after="0"/>
              <w:jc w:val="center"/>
              <w:rPr>
                <w:rFonts w:ascii="Calibri" w:hAnsi="Calibri"/>
                <w:color w:val="000000"/>
                <w:sz w:val="22"/>
                <w:szCs w:val="22"/>
                <w:lang w:val="en-US"/>
              </w:rPr>
            </w:pPr>
            <w:r w:rsidRPr="00D24D18">
              <w:rPr>
                <w:rFonts w:ascii="Calibri" w:hAnsi="Calibri"/>
                <w:color w:val="000000"/>
                <w:sz w:val="22"/>
                <w:szCs w:val="22"/>
                <w:lang w:val="en-US"/>
              </w:rPr>
              <w:t>2.25</w:t>
            </w:r>
          </w:p>
        </w:tc>
        <w:tc>
          <w:tcPr>
            <w:tcW w:w="1247" w:type="dxa"/>
            <w:tcBorders>
              <w:top w:val="nil"/>
              <w:left w:val="nil"/>
              <w:bottom w:val="single" w:sz="8" w:space="0" w:color="auto"/>
              <w:right w:val="single" w:sz="8" w:space="0" w:color="auto"/>
            </w:tcBorders>
            <w:shd w:val="clear" w:color="000000" w:fill="FFD966"/>
            <w:noWrap/>
            <w:vAlign w:val="center"/>
            <w:hideMark/>
          </w:tcPr>
          <w:p w14:paraId="34119D4B" w14:textId="77777777" w:rsidR="00D24D18" w:rsidRPr="00D24D18" w:rsidRDefault="00D24D18" w:rsidP="00D24D18">
            <w:pPr>
              <w:spacing w:after="0"/>
              <w:jc w:val="center"/>
              <w:rPr>
                <w:rFonts w:ascii="Calibri" w:hAnsi="Calibri"/>
                <w:color w:val="000000"/>
                <w:sz w:val="22"/>
                <w:szCs w:val="22"/>
                <w:lang w:val="en-US"/>
              </w:rPr>
            </w:pPr>
            <w:r w:rsidRPr="00D24D18">
              <w:rPr>
                <w:rFonts w:ascii="Calibri" w:hAnsi="Calibri"/>
                <w:color w:val="000000"/>
                <w:sz w:val="22"/>
                <w:szCs w:val="22"/>
                <w:lang w:val="en-US"/>
              </w:rPr>
              <w:t>NA</w:t>
            </w:r>
          </w:p>
        </w:tc>
      </w:tr>
      <w:tr w:rsidR="00D066E8" w:rsidRPr="00D24D18" w14:paraId="1025F487" w14:textId="77777777" w:rsidTr="00682203">
        <w:trPr>
          <w:trHeight w:val="300"/>
        </w:trPr>
        <w:tc>
          <w:tcPr>
            <w:tcW w:w="714" w:type="dxa"/>
            <w:tcBorders>
              <w:top w:val="nil"/>
              <w:left w:val="single" w:sz="8" w:space="0" w:color="auto"/>
              <w:bottom w:val="single" w:sz="8" w:space="0" w:color="auto"/>
              <w:right w:val="single" w:sz="8" w:space="0" w:color="auto"/>
            </w:tcBorders>
            <w:shd w:val="clear" w:color="000000" w:fill="FFD966"/>
            <w:vAlign w:val="center"/>
            <w:hideMark/>
          </w:tcPr>
          <w:p w14:paraId="08968498"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6</w:t>
            </w:r>
          </w:p>
        </w:tc>
        <w:tc>
          <w:tcPr>
            <w:tcW w:w="1412" w:type="dxa"/>
            <w:tcBorders>
              <w:top w:val="nil"/>
              <w:left w:val="nil"/>
              <w:bottom w:val="single" w:sz="8" w:space="0" w:color="auto"/>
              <w:right w:val="single" w:sz="8" w:space="0" w:color="auto"/>
            </w:tcBorders>
            <w:shd w:val="clear" w:color="000000" w:fill="FFD966"/>
            <w:vAlign w:val="center"/>
            <w:hideMark/>
          </w:tcPr>
          <w:p w14:paraId="11697B10"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200MHz</w:t>
            </w:r>
          </w:p>
        </w:tc>
        <w:tc>
          <w:tcPr>
            <w:tcW w:w="1222" w:type="dxa"/>
            <w:tcBorders>
              <w:top w:val="nil"/>
              <w:left w:val="nil"/>
              <w:bottom w:val="single" w:sz="8" w:space="0" w:color="auto"/>
              <w:right w:val="single" w:sz="8" w:space="0" w:color="auto"/>
            </w:tcBorders>
            <w:shd w:val="clear" w:color="000000" w:fill="FFD966"/>
            <w:vAlign w:val="center"/>
            <w:hideMark/>
          </w:tcPr>
          <w:p w14:paraId="16A2BF00"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200MHz</w:t>
            </w:r>
          </w:p>
        </w:tc>
        <w:tc>
          <w:tcPr>
            <w:tcW w:w="1185" w:type="dxa"/>
            <w:tcBorders>
              <w:top w:val="nil"/>
              <w:left w:val="nil"/>
              <w:bottom w:val="single" w:sz="8" w:space="0" w:color="auto"/>
              <w:right w:val="single" w:sz="8" w:space="0" w:color="auto"/>
            </w:tcBorders>
            <w:shd w:val="clear" w:color="000000" w:fill="FFD966"/>
            <w:vAlign w:val="center"/>
            <w:hideMark/>
          </w:tcPr>
          <w:p w14:paraId="7C862096"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30 GHz</w:t>
            </w:r>
          </w:p>
        </w:tc>
        <w:tc>
          <w:tcPr>
            <w:tcW w:w="1015" w:type="dxa"/>
            <w:tcBorders>
              <w:top w:val="nil"/>
              <w:left w:val="nil"/>
              <w:bottom w:val="single" w:sz="8" w:space="0" w:color="auto"/>
              <w:right w:val="single" w:sz="8" w:space="0" w:color="auto"/>
            </w:tcBorders>
            <w:shd w:val="clear" w:color="000000" w:fill="FFD966"/>
            <w:vAlign w:val="center"/>
            <w:hideMark/>
          </w:tcPr>
          <w:p w14:paraId="409D2689"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UL to UL</w:t>
            </w:r>
          </w:p>
        </w:tc>
        <w:tc>
          <w:tcPr>
            <w:tcW w:w="1382" w:type="dxa"/>
            <w:tcBorders>
              <w:top w:val="nil"/>
              <w:left w:val="nil"/>
              <w:bottom w:val="single" w:sz="8" w:space="0" w:color="auto"/>
              <w:right w:val="single" w:sz="8" w:space="0" w:color="auto"/>
            </w:tcBorders>
            <w:shd w:val="clear" w:color="000000" w:fill="FFD966"/>
            <w:vAlign w:val="center"/>
            <w:hideMark/>
          </w:tcPr>
          <w:p w14:paraId="67DC1BFA"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Dense urban</w:t>
            </w:r>
          </w:p>
        </w:tc>
        <w:tc>
          <w:tcPr>
            <w:tcW w:w="1273" w:type="dxa"/>
            <w:tcBorders>
              <w:top w:val="nil"/>
              <w:left w:val="nil"/>
              <w:bottom w:val="single" w:sz="8" w:space="0" w:color="auto"/>
              <w:right w:val="single" w:sz="8" w:space="0" w:color="auto"/>
            </w:tcBorders>
            <w:shd w:val="clear" w:color="000000" w:fill="FFD966"/>
            <w:noWrap/>
            <w:vAlign w:val="center"/>
            <w:hideMark/>
          </w:tcPr>
          <w:p w14:paraId="022A273B" w14:textId="77777777" w:rsidR="00D24D18" w:rsidRPr="00D24D18" w:rsidRDefault="00D24D18" w:rsidP="00D24D18">
            <w:pPr>
              <w:spacing w:after="0"/>
              <w:jc w:val="center"/>
              <w:rPr>
                <w:rFonts w:ascii="Calibri" w:hAnsi="Calibri"/>
                <w:color w:val="000000"/>
                <w:sz w:val="22"/>
                <w:szCs w:val="22"/>
                <w:lang w:val="en-US"/>
              </w:rPr>
            </w:pPr>
            <w:r w:rsidRPr="00D24D18">
              <w:rPr>
                <w:rFonts w:ascii="Calibri" w:hAnsi="Calibri"/>
                <w:color w:val="000000"/>
                <w:sz w:val="22"/>
                <w:szCs w:val="22"/>
                <w:lang w:val="en-US"/>
              </w:rPr>
              <w:t>1.12</w:t>
            </w:r>
          </w:p>
        </w:tc>
        <w:tc>
          <w:tcPr>
            <w:tcW w:w="1247" w:type="dxa"/>
            <w:tcBorders>
              <w:top w:val="nil"/>
              <w:left w:val="nil"/>
              <w:bottom w:val="single" w:sz="8" w:space="0" w:color="auto"/>
              <w:right w:val="single" w:sz="8" w:space="0" w:color="auto"/>
            </w:tcBorders>
            <w:shd w:val="clear" w:color="000000" w:fill="FFD966"/>
            <w:noWrap/>
            <w:vAlign w:val="center"/>
            <w:hideMark/>
          </w:tcPr>
          <w:p w14:paraId="262FBB02" w14:textId="77777777" w:rsidR="00D24D18" w:rsidRPr="00D24D18" w:rsidRDefault="00D24D18" w:rsidP="00D24D18">
            <w:pPr>
              <w:spacing w:after="0"/>
              <w:jc w:val="center"/>
              <w:rPr>
                <w:rFonts w:ascii="Calibri" w:hAnsi="Calibri"/>
                <w:color w:val="000000"/>
                <w:sz w:val="22"/>
                <w:szCs w:val="22"/>
                <w:lang w:val="en-US"/>
              </w:rPr>
            </w:pPr>
            <w:r w:rsidRPr="00D24D18">
              <w:rPr>
                <w:rFonts w:ascii="Calibri" w:hAnsi="Calibri"/>
                <w:color w:val="000000"/>
                <w:sz w:val="22"/>
                <w:szCs w:val="22"/>
                <w:lang w:val="en-US"/>
              </w:rPr>
              <w:t>11.48</w:t>
            </w:r>
          </w:p>
        </w:tc>
      </w:tr>
      <w:tr w:rsidR="00D066E8" w:rsidRPr="00D24D18" w14:paraId="708AB4A4" w14:textId="77777777" w:rsidTr="00682203">
        <w:trPr>
          <w:trHeight w:val="300"/>
        </w:trPr>
        <w:tc>
          <w:tcPr>
            <w:tcW w:w="714" w:type="dxa"/>
            <w:tcBorders>
              <w:top w:val="nil"/>
              <w:left w:val="single" w:sz="8" w:space="0" w:color="auto"/>
              <w:bottom w:val="single" w:sz="8" w:space="0" w:color="auto"/>
              <w:right w:val="single" w:sz="8" w:space="0" w:color="auto"/>
            </w:tcBorders>
            <w:shd w:val="clear" w:color="000000" w:fill="EDEDED"/>
            <w:vAlign w:val="center"/>
            <w:hideMark/>
          </w:tcPr>
          <w:p w14:paraId="1B229D63"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7</w:t>
            </w:r>
          </w:p>
        </w:tc>
        <w:tc>
          <w:tcPr>
            <w:tcW w:w="1412" w:type="dxa"/>
            <w:tcBorders>
              <w:top w:val="nil"/>
              <w:left w:val="nil"/>
              <w:bottom w:val="single" w:sz="8" w:space="0" w:color="auto"/>
              <w:right w:val="single" w:sz="8" w:space="0" w:color="auto"/>
            </w:tcBorders>
            <w:shd w:val="clear" w:color="000000" w:fill="EDEDED"/>
            <w:vAlign w:val="center"/>
            <w:hideMark/>
          </w:tcPr>
          <w:p w14:paraId="19FC973D"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200MHz</w:t>
            </w:r>
          </w:p>
        </w:tc>
        <w:tc>
          <w:tcPr>
            <w:tcW w:w="1222" w:type="dxa"/>
            <w:tcBorders>
              <w:top w:val="nil"/>
              <w:left w:val="nil"/>
              <w:bottom w:val="single" w:sz="8" w:space="0" w:color="auto"/>
              <w:right w:val="single" w:sz="8" w:space="0" w:color="auto"/>
            </w:tcBorders>
            <w:shd w:val="clear" w:color="000000" w:fill="EDEDED"/>
            <w:vAlign w:val="center"/>
            <w:hideMark/>
          </w:tcPr>
          <w:p w14:paraId="0A42C273"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200MHz</w:t>
            </w:r>
          </w:p>
        </w:tc>
        <w:tc>
          <w:tcPr>
            <w:tcW w:w="1185" w:type="dxa"/>
            <w:tcBorders>
              <w:top w:val="nil"/>
              <w:left w:val="nil"/>
              <w:bottom w:val="single" w:sz="8" w:space="0" w:color="auto"/>
              <w:right w:val="single" w:sz="8" w:space="0" w:color="auto"/>
            </w:tcBorders>
            <w:shd w:val="clear" w:color="000000" w:fill="EDEDED"/>
            <w:vAlign w:val="center"/>
            <w:hideMark/>
          </w:tcPr>
          <w:p w14:paraId="3E2A6D99"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70 GHz</w:t>
            </w:r>
          </w:p>
        </w:tc>
        <w:tc>
          <w:tcPr>
            <w:tcW w:w="1015" w:type="dxa"/>
            <w:tcBorders>
              <w:top w:val="nil"/>
              <w:left w:val="nil"/>
              <w:bottom w:val="single" w:sz="8" w:space="0" w:color="auto"/>
              <w:right w:val="single" w:sz="8" w:space="0" w:color="auto"/>
            </w:tcBorders>
            <w:shd w:val="clear" w:color="000000" w:fill="EDEDED"/>
            <w:vAlign w:val="center"/>
            <w:hideMark/>
          </w:tcPr>
          <w:p w14:paraId="7CBB6CC8"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DL to DL</w:t>
            </w:r>
          </w:p>
        </w:tc>
        <w:tc>
          <w:tcPr>
            <w:tcW w:w="1382" w:type="dxa"/>
            <w:tcBorders>
              <w:top w:val="nil"/>
              <w:left w:val="nil"/>
              <w:bottom w:val="single" w:sz="8" w:space="0" w:color="auto"/>
              <w:right w:val="single" w:sz="8" w:space="0" w:color="auto"/>
            </w:tcBorders>
            <w:shd w:val="clear" w:color="000000" w:fill="EDEDED"/>
            <w:vAlign w:val="center"/>
            <w:hideMark/>
          </w:tcPr>
          <w:p w14:paraId="3D492B91"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Indoor hotspot</w:t>
            </w:r>
          </w:p>
        </w:tc>
        <w:tc>
          <w:tcPr>
            <w:tcW w:w="1273" w:type="dxa"/>
            <w:tcBorders>
              <w:top w:val="nil"/>
              <w:left w:val="nil"/>
              <w:bottom w:val="single" w:sz="8" w:space="0" w:color="auto"/>
              <w:right w:val="single" w:sz="8" w:space="0" w:color="auto"/>
            </w:tcBorders>
            <w:shd w:val="clear" w:color="000000" w:fill="EDEDED"/>
            <w:noWrap/>
            <w:vAlign w:val="center"/>
            <w:hideMark/>
          </w:tcPr>
          <w:p w14:paraId="3B193DB5" w14:textId="77777777" w:rsidR="00D24D18" w:rsidRPr="00D24D18" w:rsidRDefault="00D24D18" w:rsidP="00D24D18">
            <w:pPr>
              <w:spacing w:after="0"/>
              <w:jc w:val="center"/>
              <w:rPr>
                <w:rFonts w:ascii="Calibri" w:hAnsi="Calibri"/>
                <w:color w:val="000000"/>
                <w:sz w:val="22"/>
                <w:szCs w:val="22"/>
                <w:lang w:val="en-US"/>
              </w:rPr>
            </w:pPr>
            <w:r w:rsidRPr="00D24D18">
              <w:rPr>
                <w:rFonts w:ascii="Calibri" w:hAnsi="Calibri"/>
                <w:color w:val="000000"/>
                <w:sz w:val="22"/>
                <w:szCs w:val="22"/>
                <w:lang w:val="en-US"/>
              </w:rPr>
              <w:t>16.42</w:t>
            </w:r>
          </w:p>
        </w:tc>
        <w:tc>
          <w:tcPr>
            <w:tcW w:w="1247" w:type="dxa"/>
            <w:tcBorders>
              <w:top w:val="nil"/>
              <w:left w:val="nil"/>
              <w:bottom w:val="single" w:sz="8" w:space="0" w:color="auto"/>
              <w:right w:val="single" w:sz="8" w:space="0" w:color="auto"/>
            </w:tcBorders>
            <w:shd w:val="clear" w:color="000000" w:fill="EDEDED"/>
            <w:noWrap/>
            <w:vAlign w:val="center"/>
            <w:hideMark/>
          </w:tcPr>
          <w:p w14:paraId="52610F09" w14:textId="77777777" w:rsidR="00D24D18" w:rsidRPr="00D24D18" w:rsidRDefault="00D24D18" w:rsidP="00D24D18">
            <w:pPr>
              <w:spacing w:after="0"/>
              <w:jc w:val="center"/>
              <w:rPr>
                <w:rFonts w:ascii="Calibri" w:hAnsi="Calibri"/>
                <w:color w:val="000000"/>
                <w:sz w:val="22"/>
                <w:szCs w:val="22"/>
                <w:lang w:val="en-US"/>
              </w:rPr>
            </w:pPr>
            <w:r w:rsidRPr="00D24D18">
              <w:rPr>
                <w:rFonts w:ascii="Calibri" w:hAnsi="Calibri"/>
                <w:color w:val="000000"/>
                <w:sz w:val="22"/>
                <w:szCs w:val="22"/>
                <w:lang w:val="en-US"/>
              </w:rPr>
              <w:t>12.83</w:t>
            </w:r>
          </w:p>
        </w:tc>
      </w:tr>
      <w:tr w:rsidR="00D066E8" w:rsidRPr="00D24D18" w14:paraId="15370495" w14:textId="77777777" w:rsidTr="00682203">
        <w:trPr>
          <w:trHeight w:val="300"/>
        </w:trPr>
        <w:tc>
          <w:tcPr>
            <w:tcW w:w="714" w:type="dxa"/>
            <w:tcBorders>
              <w:top w:val="nil"/>
              <w:left w:val="single" w:sz="8" w:space="0" w:color="auto"/>
              <w:bottom w:val="single" w:sz="8" w:space="0" w:color="auto"/>
              <w:right w:val="single" w:sz="8" w:space="0" w:color="auto"/>
            </w:tcBorders>
            <w:shd w:val="clear" w:color="000000" w:fill="EDEDED"/>
            <w:vAlign w:val="center"/>
            <w:hideMark/>
          </w:tcPr>
          <w:p w14:paraId="1440F8C2"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8</w:t>
            </w:r>
          </w:p>
        </w:tc>
        <w:tc>
          <w:tcPr>
            <w:tcW w:w="1412" w:type="dxa"/>
            <w:tcBorders>
              <w:top w:val="nil"/>
              <w:left w:val="nil"/>
              <w:bottom w:val="single" w:sz="8" w:space="0" w:color="auto"/>
              <w:right w:val="single" w:sz="8" w:space="0" w:color="auto"/>
            </w:tcBorders>
            <w:shd w:val="clear" w:color="000000" w:fill="EDEDED"/>
            <w:vAlign w:val="center"/>
            <w:hideMark/>
          </w:tcPr>
          <w:p w14:paraId="1B93E3A6"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200MHz</w:t>
            </w:r>
          </w:p>
        </w:tc>
        <w:tc>
          <w:tcPr>
            <w:tcW w:w="1222" w:type="dxa"/>
            <w:tcBorders>
              <w:top w:val="nil"/>
              <w:left w:val="nil"/>
              <w:bottom w:val="single" w:sz="8" w:space="0" w:color="auto"/>
              <w:right w:val="single" w:sz="8" w:space="0" w:color="auto"/>
            </w:tcBorders>
            <w:shd w:val="clear" w:color="000000" w:fill="EDEDED"/>
            <w:vAlign w:val="center"/>
            <w:hideMark/>
          </w:tcPr>
          <w:p w14:paraId="1391217D"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200MHz</w:t>
            </w:r>
          </w:p>
        </w:tc>
        <w:tc>
          <w:tcPr>
            <w:tcW w:w="1185" w:type="dxa"/>
            <w:tcBorders>
              <w:top w:val="nil"/>
              <w:left w:val="nil"/>
              <w:bottom w:val="single" w:sz="8" w:space="0" w:color="auto"/>
              <w:right w:val="single" w:sz="8" w:space="0" w:color="auto"/>
            </w:tcBorders>
            <w:shd w:val="clear" w:color="000000" w:fill="EDEDED"/>
            <w:vAlign w:val="center"/>
            <w:hideMark/>
          </w:tcPr>
          <w:p w14:paraId="41BE6524"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70 GHz</w:t>
            </w:r>
          </w:p>
        </w:tc>
        <w:tc>
          <w:tcPr>
            <w:tcW w:w="1015" w:type="dxa"/>
            <w:tcBorders>
              <w:top w:val="nil"/>
              <w:left w:val="nil"/>
              <w:bottom w:val="single" w:sz="8" w:space="0" w:color="auto"/>
              <w:right w:val="single" w:sz="8" w:space="0" w:color="auto"/>
            </w:tcBorders>
            <w:shd w:val="clear" w:color="000000" w:fill="EDEDED"/>
            <w:vAlign w:val="center"/>
            <w:hideMark/>
          </w:tcPr>
          <w:p w14:paraId="403B00C7"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DL to DL</w:t>
            </w:r>
          </w:p>
        </w:tc>
        <w:tc>
          <w:tcPr>
            <w:tcW w:w="1382" w:type="dxa"/>
            <w:tcBorders>
              <w:top w:val="nil"/>
              <w:left w:val="nil"/>
              <w:bottom w:val="single" w:sz="8" w:space="0" w:color="auto"/>
              <w:right w:val="single" w:sz="8" w:space="0" w:color="auto"/>
            </w:tcBorders>
            <w:shd w:val="clear" w:color="000000" w:fill="EDEDED"/>
            <w:vAlign w:val="center"/>
            <w:hideMark/>
          </w:tcPr>
          <w:p w14:paraId="32999EF2"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Dense urban</w:t>
            </w:r>
          </w:p>
        </w:tc>
        <w:tc>
          <w:tcPr>
            <w:tcW w:w="1273" w:type="dxa"/>
            <w:tcBorders>
              <w:top w:val="nil"/>
              <w:left w:val="nil"/>
              <w:bottom w:val="single" w:sz="8" w:space="0" w:color="auto"/>
              <w:right w:val="single" w:sz="8" w:space="0" w:color="auto"/>
            </w:tcBorders>
            <w:shd w:val="clear" w:color="000000" w:fill="EDEDED"/>
            <w:noWrap/>
            <w:vAlign w:val="center"/>
            <w:hideMark/>
          </w:tcPr>
          <w:p w14:paraId="4A737CC9" w14:textId="77777777" w:rsidR="00D24D18" w:rsidRPr="00D24D18" w:rsidRDefault="00D24D18" w:rsidP="00D24D18">
            <w:pPr>
              <w:spacing w:after="0"/>
              <w:jc w:val="center"/>
              <w:rPr>
                <w:rFonts w:ascii="Calibri" w:hAnsi="Calibri"/>
                <w:color w:val="000000"/>
                <w:sz w:val="22"/>
                <w:szCs w:val="22"/>
                <w:lang w:val="en-US"/>
              </w:rPr>
            </w:pPr>
            <w:r w:rsidRPr="00D24D18">
              <w:rPr>
                <w:rFonts w:ascii="Calibri" w:hAnsi="Calibri"/>
                <w:color w:val="000000"/>
                <w:sz w:val="22"/>
                <w:szCs w:val="22"/>
                <w:lang w:val="en-US"/>
              </w:rPr>
              <w:t>5.98</w:t>
            </w:r>
          </w:p>
        </w:tc>
        <w:tc>
          <w:tcPr>
            <w:tcW w:w="1247" w:type="dxa"/>
            <w:tcBorders>
              <w:top w:val="nil"/>
              <w:left w:val="nil"/>
              <w:bottom w:val="single" w:sz="8" w:space="0" w:color="auto"/>
              <w:right w:val="single" w:sz="8" w:space="0" w:color="auto"/>
            </w:tcBorders>
            <w:shd w:val="clear" w:color="000000" w:fill="EDEDED"/>
            <w:noWrap/>
            <w:vAlign w:val="center"/>
            <w:hideMark/>
          </w:tcPr>
          <w:p w14:paraId="4B8700D0" w14:textId="77777777" w:rsidR="00D24D18" w:rsidRPr="00D24D18" w:rsidRDefault="00D24D18" w:rsidP="00D24D18">
            <w:pPr>
              <w:spacing w:after="0"/>
              <w:jc w:val="center"/>
              <w:rPr>
                <w:rFonts w:ascii="Calibri" w:hAnsi="Calibri"/>
                <w:color w:val="000000"/>
                <w:sz w:val="22"/>
                <w:szCs w:val="22"/>
                <w:lang w:val="en-US"/>
              </w:rPr>
            </w:pPr>
            <w:r w:rsidRPr="00D24D18">
              <w:rPr>
                <w:rFonts w:ascii="Calibri" w:hAnsi="Calibri"/>
                <w:color w:val="000000"/>
                <w:sz w:val="22"/>
                <w:szCs w:val="22"/>
                <w:lang w:val="en-US"/>
              </w:rPr>
              <w:t>NA</w:t>
            </w:r>
          </w:p>
        </w:tc>
      </w:tr>
      <w:tr w:rsidR="00D066E8" w:rsidRPr="00D24D18" w14:paraId="0F42917C" w14:textId="77777777" w:rsidTr="00682203">
        <w:trPr>
          <w:trHeight w:val="300"/>
        </w:trPr>
        <w:tc>
          <w:tcPr>
            <w:tcW w:w="714" w:type="dxa"/>
            <w:tcBorders>
              <w:top w:val="nil"/>
              <w:left w:val="single" w:sz="8" w:space="0" w:color="auto"/>
              <w:bottom w:val="single" w:sz="8" w:space="0" w:color="auto"/>
              <w:right w:val="single" w:sz="8" w:space="0" w:color="auto"/>
            </w:tcBorders>
            <w:shd w:val="clear" w:color="000000" w:fill="F8CBAD"/>
            <w:vAlign w:val="center"/>
            <w:hideMark/>
          </w:tcPr>
          <w:p w14:paraId="7AB77382"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9</w:t>
            </w:r>
          </w:p>
        </w:tc>
        <w:tc>
          <w:tcPr>
            <w:tcW w:w="1412" w:type="dxa"/>
            <w:tcBorders>
              <w:top w:val="nil"/>
              <w:left w:val="nil"/>
              <w:bottom w:val="single" w:sz="8" w:space="0" w:color="auto"/>
              <w:right w:val="single" w:sz="8" w:space="0" w:color="auto"/>
            </w:tcBorders>
            <w:shd w:val="clear" w:color="000000" w:fill="F8CBAD"/>
            <w:vAlign w:val="center"/>
            <w:hideMark/>
          </w:tcPr>
          <w:p w14:paraId="6AD748F2"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200MHz</w:t>
            </w:r>
          </w:p>
        </w:tc>
        <w:tc>
          <w:tcPr>
            <w:tcW w:w="1222" w:type="dxa"/>
            <w:tcBorders>
              <w:top w:val="nil"/>
              <w:left w:val="nil"/>
              <w:bottom w:val="single" w:sz="8" w:space="0" w:color="auto"/>
              <w:right w:val="single" w:sz="8" w:space="0" w:color="auto"/>
            </w:tcBorders>
            <w:shd w:val="clear" w:color="000000" w:fill="F8CBAD"/>
            <w:vAlign w:val="center"/>
            <w:hideMark/>
          </w:tcPr>
          <w:p w14:paraId="60165C88"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200MHz</w:t>
            </w:r>
          </w:p>
        </w:tc>
        <w:tc>
          <w:tcPr>
            <w:tcW w:w="1185" w:type="dxa"/>
            <w:tcBorders>
              <w:top w:val="nil"/>
              <w:left w:val="nil"/>
              <w:bottom w:val="single" w:sz="8" w:space="0" w:color="auto"/>
              <w:right w:val="single" w:sz="8" w:space="0" w:color="auto"/>
            </w:tcBorders>
            <w:shd w:val="clear" w:color="000000" w:fill="F8CBAD"/>
            <w:vAlign w:val="center"/>
            <w:hideMark/>
          </w:tcPr>
          <w:p w14:paraId="54E8A78B"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70 GHz</w:t>
            </w:r>
          </w:p>
        </w:tc>
        <w:tc>
          <w:tcPr>
            <w:tcW w:w="1015" w:type="dxa"/>
            <w:tcBorders>
              <w:top w:val="nil"/>
              <w:left w:val="nil"/>
              <w:bottom w:val="single" w:sz="8" w:space="0" w:color="auto"/>
              <w:right w:val="single" w:sz="8" w:space="0" w:color="auto"/>
            </w:tcBorders>
            <w:shd w:val="clear" w:color="000000" w:fill="F8CBAD"/>
            <w:vAlign w:val="center"/>
            <w:hideMark/>
          </w:tcPr>
          <w:p w14:paraId="7C706D0A"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UL to UL</w:t>
            </w:r>
          </w:p>
        </w:tc>
        <w:tc>
          <w:tcPr>
            <w:tcW w:w="1382" w:type="dxa"/>
            <w:tcBorders>
              <w:top w:val="nil"/>
              <w:left w:val="nil"/>
              <w:bottom w:val="single" w:sz="8" w:space="0" w:color="auto"/>
              <w:right w:val="single" w:sz="8" w:space="0" w:color="auto"/>
            </w:tcBorders>
            <w:shd w:val="clear" w:color="000000" w:fill="F8CBAD"/>
            <w:vAlign w:val="center"/>
            <w:hideMark/>
          </w:tcPr>
          <w:p w14:paraId="001407E8"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Indoor hotspot</w:t>
            </w:r>
          </w:p>
        </w:tc>
        <w:tc>
          <w:tcPr>
            <w:tcW w:w="1273" w:type="dxa"/>
            <w:tcBorders>
              <w:top w:val="nil"/>
              <w:left w:val="nil"/>
              <w:bottom w:val="single" w:sz="8" w:space="0" w:color="auto"/>
              <w:right w:val="single" w:sz="8" w:space="0" w:color="auto"/>
            </w:tcBorders>
            <w:shd w:val="clear" w:color="000000" w:fill="F8CBAD"/>
            <w:noWrap/>
            <w:vAlign w:val="center"/>
            <w:hideMark/>
          </w:tcPr>
          <w:p w14:paraId="1B7FF8B8" w14:textId="77777777" w:rsidR="00D24D18" w:rsidRPr="00D24D18" w:rsidRDefault="00D24D18" w:rsidP="00D24D18">
            <w:pPr>
              <w:spacing w:after="0"/>
              <w:jc w:val="center"/>
              <w:rPr>
                <w:rFonts w:ascii="Calibri" w:hAnsi="Calibri"/>
                <w:color w:val="000000"/>
                <w:sz w:val="22"/>
                <w:szCs w:val="22"/>
                <w:lang w:val="en-US"/>
              </w:rPr>
            </w:pPr>
            <w:r w:rsidRPr="00D24D18">
              <w:rPr>
                <w:rFonts w:ascii="Calibri" w:hAnsi="Calibri"/>
                <w:color w:val="000000"/>
                <w:sz w:val="22"/>
                <w:szCs w:val="22"/>
                <w:lang w:val="en-US"/>
              </w:rPr>
              <w:t>6.92</w:t>
            </w:r>
          </w:p>
        </w:tc>
        <w:tc>
          <w:tcPr>
            <w:tcW w:w="1247" w:type="dxa"/>
            <w:tcBorders>
              <w:top w:val="nil"/>
              <w:left w:val="nil"/>
              <w:bottom w:val="single" w:sz="8" w:space="0" w:color="auto"/>
              <w:right w:val="single" w:sz="8" w:space="0" w:color="auto"/>
            </w:tcBorders>
            <w:shd w:val="clear" w:color="000000" w:fill="F8CBAD"/>
            <w:noWrap/>
            <w:vAlign w:val="center"/>
            <w:hideMark/>
          </w:tcPr>
          <w:p w14:paraId="17756F7B" w14:textId="77777777" w:rsidR="00D24D18" w:rsidRPr="00D24D18" w:rsidRDefault="00D24D18" w:rsidP="00D24D18">
            <w:pPr>
              <w:spacing w:after="0"/>
              <w:jc w:val="center"/>
              <w:rPr>
                <w:rFonts w:ascii="Calibri" w:hAnsi="Calibri"/>
                <w:color w:val="000000"/>
                <w:sz w:val="22"/>
                <w:szCs w:val="22"/>
                <w:lang w:val="en-US"/>
              </w:rPr>
            </w:pPr>
            <w:r w:rsidRPr="00D24D18">
              <w:rPr>
                <w:rFonts w:ascii="Calibri" w:hAnsi="Calibri"/>
                <w:color w:val="000000"/>
                <w:sz w:val="22"/>
                <w:szCs w:val="22"/>
                <w:lang w:val="en-US"/>
              </w:rPr>
              <w:t>14.18</w:t>
            </w:r>
          </w:p>
        </w:tc>
      </w:tr>
      <w:tr w:rsidR="00D066E8" w:rsidRPr="00D24D18" w14:paraId="22FD5337" w14:textId="77777777" w:rsidTr="00682203">
        <w:trPr>
          <w:trHeight w:val="300"/>
        </w:trPr>
        <w:tc>
          <w:tcPr>
            <w:tcW w:w="714" w:type="dxa"/>
            <w:tcBorders>
              <w:top w:val="nil"/>
              <w:left w:val="single" w:sz="8" w:space="0" w:color="auto"/>
              <w:bottom w:val="single" w:sz="8" w:space="0" w:color="auto"/>
              <w:right w:val="single" w:sz="8" w:space="0" w:color="auto"/>
            </w:tcBorders>
            <w:shd w:val="clear" w:color="000000" w:fill="F8CBAD"/>
            <w:vAlign w:val="center"/>
            <w:hideMark/>
          </w:tcPr>
          <w:p w14:paraId="07D406AF"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10</w:t>
            </w:r>
          </w:p>
        </w:tc>
        <w:tc>
          <w:tcPr>
            <w:tcW w:w="1412" w:type="dxa"/>
            <w:tcBorders>
              <w:top w:val="nil"/>
              <w:left w:val="nil"/>
              <w:bottom w:val="single" w:sz="8" w:space="0" w:color="auto"/>
              <w:right w:val="single" w:sz="8" w:space="0" w:color="auto"/>
            </w:tcBorders>
            <w:shd w:val="clear" w:color="000000" w:fill="F8CBAD"/>
            <w:vAlign w:val="center"/>
            <w:hideMark/>
          </w:tcPr>
          <w:p w14:paraId="6C1129BC"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200MHz</w:t>
            </w:r>
          </w:p>
        </w:tc>
        <w:tc>
          <w:tcPr>
            <w:tcW w:w="1222" w:type="dxa"/>
            <w:tcBorders>
              <w:top w:val="nil"/>
              <w:left w:val="nil"/>
              <w:bottom w:val="single" w:sz="8" w:space="0" w:color="auto"/>
              <w:right w:val="single" w:sz="8" w:space="0" w:color="auto"/>
            </w:tcBorders>
            <w:shd w:val="clear" w:color="000000" w:fill="F8CBAD"/>
            <w:vAlign w:val="center"/>
            <w:hideMark/>
          </w:tcPr>
          <w:p w14:paraId="697AFA0B"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200MHz</w:t>
            </w:r>
          </w:p>
        </w:tc>
        <w:tc>
          <w:tcPr>
            <w:tcW w:w="1185" w:type="dxa"/>
            <w:tcBorders>
              <w:top w:val="nil"/>
              <w:left w:val="nil"/>
              <w:bottom w:val="single" w:sz="8" w:space="0" w:color="auto"/>
              <w:right w:val="single" w:sz="8" w:space="0" w:color="auto"/>
            </w:tcBorders>
            <w:shd w:val="clear" w:color="000000" w:fill="F8CBAD"/>
            <w:vAlign w:val="center"/>
            <w:hideMark/>
          </w:tcPr>
          <w:p w14:paraId="2DD775CD"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70 GHz</w:t>
            </w:r>
          </w:p>
        </w:tc>
        <w:tc>
          <w:tcPr>
            <w:tcW w:w="1015" w:type="dxa"/>
            <w:tcBorders>
              <w:top w:val="nil"/>
              <w:left w:val="nil"/>
              <w:bottom w:val="single" w:sz="8" w:space="0" w:color="auto"/>
              <w:right w:val="single" w:sz="8" w:space="0" w:color="auto"/>
            </w:tcBorders>
            <w:shd w:val="clear" w:color="000000" w:fill="F8CBAD"/>
            <w:vAlign w:val="center"/>
            <w:hideMark/>
          </w:tcPr>
          <w:p w14:paraId="3DCF1257"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UL to UL</w:t>
            </w:r>
          </w:p>
        </w:tc>
        <w:tc>
          <w:tcPr>
            <w:tcW w:w="1382" w:type="dxa"/>
            <w:tcBorders>
              <w:top w:val="nil"/>
              <w:left w:val="nil"/>
              <w:bottom w:val="single" w:sz="8" w:space="0" w:color="auto"/>
              <w:right w:val="single" w:sz="8" w:space="0" w:color="auto"/>
            </w:tcBorders>
            <w:shd w:val="clear" w:color="000000" w:fill="F8CBAD"/>
            <w:vAlign w:val="center"/>
            <w:hideMark/>
          </w:tcPr>
          <w:p w14:paraId="4BFF576A"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Dense urban</w:t>
            </w:r>
          </w:p>
        </w:tc>
        <w:tc>
          <w:tcPr>
            <w:tcW w:w="1273" w:type="dxa"/>
            <w:tcBorders>
              <w:top w:val="nil"/>
              <w:left w:val="nil"/>
              <w:bottom w:val="single" w:sz="8" w:space="0" w:color="auto"/>
              <w:right w:val="single" w:sz="8" w:space="0" w:color="auto"/>
            </w:tcBorders>
            <w:shd w:val="clear" w:color="000000" w:fill="F8CBAD"/>
            <w:noWrap/>
            <w:vAlign w:val="center"/>
            <w:hideMark/>
          </w:tcPr>
          <w:p w14:paraId="1DC9661C" w14:textId="77777777" w:rsidR="00D24D18" w:rsidRPr="00D24D18" w:rsidRDefault="00D24D18" w:rsidP="00D24D18">
            <w:pPr>
              <w:spacing w:after="0"/>
              <w:jc w:val="center"/>
              <w:rPr>
                <w:rFonts w:ascii="Calibri" w:hAnsi="Calibri"/>
                <w:color w:val="000000"/>
                <w:sz w:val="22"/>
                <w:szCs w:val="22"/>
                <w:lang w:val="en-US"/>
              </w:rPr>
            </w:pPr>
            <w:r w:rsidRPr="00D24D18">
              <w:rPr>
                <w:rFonts w:ascii="Calibri" w:hAnsi="Calibri"/>
                <w:color w:val="000000"/>
                <w:sz w:val="22"/>
                <w:szCs w:val="22"/>
                <w:lang w:val="en-US"/>
              </w:rPr>
              <w:t>0</w:t>
            </w:r>
          </w:p>
        </w:tc>
        <w:tc>
          <w:tcPr>
            <w:tcW w:w="1247" w:type="dxa"/>
            <w:tcBorders>
              <w:top w:val="nil"/>
              <w:left w:val="nil"/>
              <w:bottom w:val="single" w:sz="8" w:space="0" w:color="auto"/>
              <w:right w:val="single" w:sz="8" w:space="0" w:color="auto"/>
            </w:tcBorders>
            <w:shd w:val="clear" w:color="000000" w:fill="F8CBAD"/>
            <w:noWrap/>
            <w:vAlign w:val="center"/>
            <w:hideMark/>
          </w:tcPr>
          <w:p w14:paraId="525F0987" w14:textId="77777777" w:rsidR="00D24D18" w:rsidRPr="00D24D18" w:rsidRDefault="00D24D18" w:rsidP="00D24D18">
            <w:pPr>
              <w:spacing w:after="0"/>
              <w:jc w:val="center"/>
              <w:rPr>
                <w:rFonts w:ascii="Calibri" w:hAnsi="Calibri"/>
                <w:color w:val="000000"/>
                <w:sz w:val="22"/>
                <w:szCs w:val="22"/>
                <w:lang w:val="en-US"/>
              </w:rPr>
            </w:pPr>
            <w:r w:rsidRPr="00D24D18">
              <w:rPr>
                <w:rFonts w:ascii="Calibri" w:hAnsi="Calibri"/>
                <w:color w:val="000000"/>
                <w:sz w:val="22"/>
                <w:szCs w:val="22"/>
                <w:lang w:val="en-US"/>
              </w:rPr>
              <w:t>NA</w:t>
            </w:r>
          </w:p>
        </w:tc>
      </w:tr>
      <w:tr w:rsidR="00D066E8" w:rsidRPr="00D24D18" w14:paraId="21046BFE" w14:textId="77777777" w:rsidTr="00682203">
        <w:trPr>
          <w:trHeight w:val="300"/>
        </w:trPr>
        <w:tc>
          <w:tcPr>
            <w:tcW w:w="714" w:type="dxa"/>
            <w:tcBorders>
              <w:top w:val="nil"/>
              <w:left w:val="single" w:sz="8" w:space="0" w:color="auto"/>
              <w:bottom w:val="single" w:sz="8" w:space="0" w:color="auto"/>
              <w:right w:val="single" w:sz="8" w:space="0" w:color="auto"/>
            </w:tcBorders>
            <w:shd w:val="clear" w:color="000000" w:fill="FFD966"/>
            <w:vAlign w:val="center"/>
            <w:hideMark/>
          </w:tcPr>
          <w:p w14:paraId="6B6E3048"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11</w:t>
            </w:r>
          </w:p>
        </w:tc>
        <w:tc>
          <w:tcPr>
            <w:tcW w:w="1412" w:type="dxa"/>
            <w:tcBorders>
              <w:top w:val="nil"/>
              <w:left w:val="nil"/>
              <w:bottom w:val="single" w:sz="8" w:space="0" w:color="auto"/>
              <w:right w:val="single" w:sz="8" w:space="0" w:color="auto"/>
            </w:tcBorders>
            <w:shd w:val="clear" w:color="000000" w:fill="FFD966"/>
            <w:vAlign w:val="center"/>
            <w:hideMark/>
          </w:tcPr>
          <w:p w14:paraId="7D3F290C"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20MHz</w:t>
            </w:r>
          </w:p>
        </w:tc>
        <w:tc>
          <w:tcPr>
            <w:tcW w:w="1222" w:type="dxa"/>
            <w:tcBorders>
              <w:top w:val="nil"/>
              <w:left w:val="nil"/>
              <w:bottom w:val="single" w:sz="8" w:space="0" w:color="auto"/>
              <w:right w:val="single" w:sz="8" w:space="0" w:color="auto"/>
            </w:tcBorders>
            <w:shd w:val="clear" w:color="000000" w:fill="FFD966"/>
            <w:vAlign w:val="center"/>
            <w:hideMark/>
          </w:tcPr>
          <w:p w14:paraId="7B16AAF7"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20MHz</w:t>
            </w:r>
          </w:p>
        </w:tc>
        <w:tc>
          <w:tcPr>
            <w:tcW w:w="1185" w:type="dxa"/>
            <w:tcBorders>
              <w:top w:val="nil"/>
              <w:left w:val="nil"/>
              <w:bottom w:val="single" w:sz="8" w:space="0" w:color="auto"/>
              <w:right w:val="single" w:sz="8" w:space="0" w:color="auto"/>
            </w:tcBorders>
            <w:shd w:val="clear" w:color="000000" w:fill="FFD966"/>
            <w:vAlign w:val="center"/>
            <w:hideMark/>
          </w:tcPr>
          <w:p w14:paraId="2FA9BE71"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30 GHz</w:t>
            </w:r>
          </w:p>
        </w:tc>
        <w:tc>
          <w:tcPr>
            <w:tcW w:w="1015" w:type="dxa"/>
            <w:tcBorders>
              <w:top w:val="nil"/>
              <w:left w:val="nil"/>
              <w:bottom w:val="single" w:sz="8" w:space="0" w:color="auto"/>
              <w:right w:val="single" w:sz="8" w:space="0" w:color="auto"/>
            </w:tcBorders>
            <w:shd w:val="clear" w:color="000000" w:fill="FFD966"/>
            <w:vAlign w:val="center"/>
            <w:hideMark/>
          </w:tcPr>
          <w:p w14:paraId="1DFBC082"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rPr>
              <w:t>UL to UL</w:t>
            </w:r>
          </w:p>
        </w:tc>
        <w:tc>
          <w:tcPr>
            <w:tcW w:w="1382" w:type="dxa"/>
            <w:tcBorders>
              <w:top w:val="nil"/>
              <w:left w:val="nil"/>
              <w:bottom w:val="single" w:sz="8" w:space="0" w:color="auto"/>
              <w:right w:val="single" w:sz="8" w:space="0" w:color="auto"/>
            </w:tcBorders>
            <w:shd w:val="clear" w:color="000000" w:fill="FFD966"/>
            <w:vAlign w:val="center"/>
            <w:hideMark/>
          </w:tcPr>
          <w:p w14:paraId="5E14EB54" w14:textId="77777777" w:rsidR="00D24D18" w:rsidRPr="00D24D18" w:rsidRDefault="00D24D18" w:rsidP="00D24D18">
            <w:pPr>
              <w:spacing w:after="0"/>
              <w:jc w:val="center"/>
              <w:rPr>
                <w:rFonts w:ascii="Arial" w:hAnsi="Arial" w:cs="Arial"/>
                <w:color w:val="000000"/>
                <w:sz w:val="18"/>
                <w:szCs w:val="18"/>
                <w:lang w:val="en-US"/>
              </w:rPr>
            </w:pPr>
            <w:r w:rsidRPr="00D24D18">
              <w:rPr>
                <w:rFonts w:ascii="Arial" w:hAnsi="Arial" w:cs="Arial"/>
                <w:color w:val="000000"/>
                <w:sz w:val="18"/>
                <w:szCs w:val="18"/>
                <w:lang w:eastAsia="ja-JP"/>
              </w:rPr>
              <w:t>Urban macro</w:t>
            </w:r>
          </w:p>
        </w:tc>
        <w:tc>
          <w:tcPr>
            <w:tcW w:w="1273" w:type="dxa"/>
            <w:tcBorders>
              <w:top w:val="nil"/>
              <w:left w:val="nil"/>
              <w:bottom w:val="single" w:sz="8" w:space="0" w:color="auto"/>
              <w:right w:val="single" w:sz="8" w:space="0" w:color="auto"/>
            </w:tcBorders>
            <w:shd w:val="clear" w:color="000000" w:fill="FFD966"/>
            <w:noWrap/>
            <w:vAlign w:val="center"/>
            <w:hideMark/>
          </w:tcPr>
          <w:p w14:paraId="6394E6E1" w14:textId="6798C9DE" w:rsidR="00D24D18" w:rsidRPr="00D24D18" w:rsidRDefault="00682203" w:rsidP="00D24D18">
            <w:pPr>
              <w:spacing w:after="0"/>
              <w:jc w:val="center"/>
              <w:rPr>
                <w:rFonts w:ascii="Calibri" w:hAnsi="Calibri"/>
                <w:color w:val="000000"/>
                <w:sz w:val="22"/>
                <w:szCs w:val="22"/>
                <w:lang w:val="en-US"/>
              </w:rPr>
            </w:pPr>
            <w:r>
              <w:rPr>
                <w:rFonts w:ascii="Calibri" w:hAnsi="Calibri"/>
                <w:color w:val="000000"/>
                <w:sz w:val="22"/>
                <w:szCs w:val="22"/>
                <w:lang w:val="en-US"/>
              </w:rPr>
              <w:t>In progress</w:t>
            </w:r>
          </w:p>
        </w:tc>
        <w:tc>
          <w:tcPr>
            <w:tcW w:w="1247" w:type="dxa"/>
            <w:tcBorders>
              <w:top w:val="nil"/>
              <w:left w:val="nil"/>
              <w:bottom w:val="single" w:sz="8" w:space="0" w:color="auto"/>
              <w:right w:val="single" w:sz="8" w:space="0" w:color="auto"/>
            </w:tcBorders>
            <w:shd w:val="clear" w:color="000000" w:fill="FFD966"/>
            <w:noWrap/>
            <w:vAlign w:val="center"/>
            <w:hideMark/>
          </w:tcPr>
          <w:p w14:paraId="626A3F1F" w14:textId="305D3E39" w:rsidR="00D24D18" w:rsidRPr="00D24D18" w:rsidRDefault="00682203" w:rsidP="00D24D18">
            <w:pPr>
              <w:spacing w:after="0"/>
              <w:jc w:val="center"/>
              <w:rPr>
                <w:rFonts w:ascii="Calibri" w:hAnsi="Calibri"/>
                <w:color w:val="000000"/>
                <w:sz w:val="22"/>
                <w:szCs w:val="22"/>
                <w:lang w:val="en-US"/>
              </w:rPr>
            </w:pPr>
            <w:r>
              <w:rPr>
                <w:rFonts w:ascii="Calibri" w:hAnsi="Calibri"/>
                <w:color w:val="000000"/>
                <w:sz w:val="22"/>
                <w:szCs w:val="22"/>
                <w:lang w:val="en-US"/>
              </w:rPr>
              <w:t>In progress</w:t>
            </w:r>
          </w:p>
        </w:tc>
      </w:tr>
    </w:tbl>
    <w:p w14:paraId="1A756C09" w14:textId="77777777" w:rsidR="007668C0" w:rsidRDefault="007668C0" w:rsidP="00AB22CC">
      <w:pPr>
        <w:rPr>
          <w:lang w:val="en-US"/>
        </w:rPr>
      </w:pPr>
    </w:p>
    <w:p w14:paraId="05EDE12F" w14:textId="236A7E55" w:rsidR="001C566C" w:rsidRPr="00AB22CC" w:rsidRDefault="001C566C" w:rsidP="001C566C">
      <w:pPr>
        <w:jc w:val="both"/>
        <w:rPr>
          <w:lang w:val="en-US"/>
        </w:rPr>
      </w:pPr>
      <w:r>
        <w:rPr>
          <w:lang w:val="en-US"/>
        </w:rPr>
        <w:t>Note that simulation results for case 2 are not provided yet. This case represents a particular scenario, since it is an attempt to increase the coverage in the urban macro deployment. Since we observed that this case could create an artifact in terms of the requirement for the cell edge throughput</w:t>
      </w:r>
      <w:r w:rsidR="00622418">
        <w:rPr>
          <w:lang w:val="en-US"/>
        </w:rPr>
        <w:t>,</w:t>
      </w:r>
      <w:r>
        <w:rPr>
          <w:lang w:val="en-US"/>
        </w:rPr>
        <w:t xml:space="preserve"> we are </w:t>
      </w:r>
      <w:r w:rsidR="00622418">
        <w:rPr>
          <w:lang w:val="en-US"/>
        </w:rPr>
        <w:t xml:space="preserve">currently </w:t>
      </w:r>
      <w:r>
        <w:rPr>
          <w:lang w:val="en-US"/>
        </w:rPr>
        <w:t xml:space="preserve">running further evaluation to clarify the system level implications of this use case. On the other hand, Cases 1 to 10, i.e. the default scenarios, showed consistent results which are summarized by </w:t>
      </w:r>
      <w:r w:rsidR="000C26E0">
        <w:rPr>
          <w:lang w:val="en-US"/>
        </w:rPr>
        <w:t>Proposal 1 and Proposal 2.</w:t>
      </w:r>
      <w:r>
        <w:rPr>
          <w:lang w:val="en-US"/>
        </w:rPr>
        <w:t xml:space="preserve">  </w:t>
      </w:r>
    </w:p>
    <w:p w14:paraId="73AF9FE1" w14:textId="3B07AC37" w:rsidR="00531558" w:rsidRDefault="00CB4775" w:rsidP="005F1DA6">
      <w:pPr>
        <w:pStyle w:val="Heading1"/>
        <w:rPr>
          <w:lang w:val="en-US"/>
        </w:rPr>
      </w:pPr>
      <w:r>
        <w:rPr>
          <w:lang w:val="en-US"/>
        </w:rPr>
        <w:t xml:space="preserve">Relationship between ACIR and </w:t>
      </w:r>
      <w:proofErr w:type="spellStart"/>
      <w:proofErr w:type="gramStart"/>
      <w:r>
        <w:rPr>
          <w:lang w:val="en-US"/>
        </w:rPr>
        <w:t>Tx</w:t>
      </w:r>
      <w:proofErr w:type="spellEnd"/>
      <w:proofErr w:type="gramEnd"/>
      <w:r>
        <w:rPr>
          <w:lang w:val="en-US"/>
        </w:rPr>
        <w:t xml:space="preserve"> masks (UEM and SEM)</w:t>
      </w:r>
    </w:p>
    <w:p w14:paraId="7274221F" w14:textId="55DB0B20" w:rsidR="003E33A0" w:rsidRDefault="003E33A0" w:rsidP="003E33A0">
      <w:pPr>
        <w:jc w:val="both"/>
        <w:rPr>
          <w:lang w:val="en-US"/>
        </w:rPr>
      </w:pPr>
      <w:r>
        <w:rPr>
          <w:lang w:val="en-US"/>
        </w:rPr>
        <w:t xml:space="preserve">Another interesting observation is related to the relationship between ACLR and Spectrum Emission Mask (SEM) or Unwanted Emission Mask (UEM). </w:t>
      </w:r>
      <w:r w:rsidR="001A5270">
        <w:rPr>
          <w:lang w:val="en-US"/>
        </w:rPr>
        <w:t>While ACLR is a relative value enabling adjacent channel coexistence, SEM/UEM will mainly address the need to fulfill specific regulatory requirements, i.e. absolute emission level. These two figures are usually correlated, therefore it is also worth considering regulatory requirements in millimeter wave (</w:t>
      </w:r>
      <w:proofErr w:type="spellStart"/>
      <w:r w:rsidR="001A5270">
        <w:rPr>
          <w:lang w:val="en-US"/>
        </w:rPr>
        <w:t>mmW</w:t>
      </w:r>
      <w:proofErr w:type="spellEnd"/>
      <w:r w:rsidR="001A5270">
        <w:rPr>
          <w:lang w:val="en-US"/>
        </w:rPr>
        <w:t>) bands when defining ACLR requirements.</w:t>
      </w:r>
    </w:p>
    <w:p w14:paraId="382AAD3B" w14:textId="21BEF63A" w:rsidR="003E33A0" w:rsidRDefault="003E33A0" w:rsidP="003E33A0">
      <w:pPr>
        <w:jc w:val="both"/>
        <w:rPr>
          <w:lang w:val="en-US"/>
        </w:rPr>
      </w:pPr>
      <w:r>
        <w:rPr>
          <w:lang w:val="en-US"/>
        </w:rPr>
        <w:t xml:space="preserve">FCC recently released a Report and Order for </w:t>
      </w:r>
      <w:r w:rsidRPr="003E33A0">
        <w:rPr>
          <w:lang w:val="en-US"/>
        </w:rPr>
        <w:t>27.5-28.35</w:t>
      </w:r>
      <w:r>
        <w:rPr>
          <w:lang w:val="en-US"/>
        </w:rPr>
        <w:t xml:space="preserve"> </w:t>
      </w:r>
      <w:r w:rsidRPr="003E33A0">
        <w:rPr>
          <w:lang w:val="en-US"/>
        </w:rPr>
        <w:t>GHz and 37.5-40 GHz Bands</w:t>
      </w:r>
      <w:r w:rsidR="001A5270">
        <w:rPr>
          <w:lang w:val="en-US"/>
        </w:rPr>
        <w:t xml:space="preserve"> </w:t>
      </w:r>
      <w:r w:rsidR="001A5270">
        <w:fldChar w:fldCharType="begin"/>
      </w:r>
      <w:r w:rsidR="001A5270">
        <w:instrText xml:space="preserve"> REF _Ref466045242 \r \h </w:instrText>
      </w:r>
      <w:r w:rsidR="001A5270">
        <w:fldChar w:fldCharType="separate"/>
      </w:r>
      <w:r w:rsidR="00D360DF">
        <w:t>[9]</w:t>
      </w:r>
      <w:r w:rsidR="001A5270">
        <w:fldChar w:fldCharType="end"/>
      </w:r>
      <w:r>
        <w:rPr>
          <w:lang w:val="en-US"/>
        </w:rPr>
        <w:t xml:space="preserve">. The emission requirements are depicted in </w:t>
      </w:r>
      <w:r w:rsidR="001A5270">
        <w:rPr>
          <w:lang w:val="en-US"/>
        </w:rPr>
        <w:fldChar w:fldCharType="begin"/>
      </w:r>
      <w:r w:rsidR="001A5270">
        <w:rPr>
          <w:lang w:val="en-US"/>
        </w:rPr>
        <w:instrText xml:space="preserve"> REF _Ref466045206 \h </w:instrText>
      </w:r>
      <w:r w:rsidR="001A5270">
        <w:rPr>
          <w:lang w:val="en-US"/>
        </w:rPr>
      </w:r>
      <w:r w:rsidR="001A5270">
        <w:rPr>
          <w:lang w:val="en-US"/>
        </w:rPr>
        <w:fldChar w:fldCharType="separate"/>
      </w:r>
      <w:r w:rsidR="00D360DF">
        <w:t xml:space="preserve">Figure </w:t>
      </w:r>
      <w:r w:rsidR="00D360DF">
        <w:rPr>
          <w:noProof/>
        </w:rPr>
        <w:t>1</w:t>
      </w:r>
      <w:r w:rsidR="001A5270">
        <w:rPr>
          <w:lang w:val="en-US"/>
        </w:rPr>
        <w:fldChar w:fldCharType="end"/>
      </w:r>
      <w:r w:rsidR="001A5270">
        <w:rPr>
          <w:lang w:val="en-US"/>
        </w:rPr>
        <w:t xml:space="preserve">. </w:t>
      </w:r>
      <w:r w:rsidR="006A6823">
        <w:rPr>
          <w:lang w:val="en-US"/>
        </w:rPr>
        <w:t>By fixing the transmitter output power and the system channel bandwidth</w:t>
      </w:r>
      <w:r w:rsidR="00D557ED">
        <w:rPr>
          <w:lang w:val="en-US"/>
        </w:rPr>
        <w:t xml:space="preserve"> (BW)</w:t>
      </w:r>
      <w:r w:rsidR="006A6823">
        <w:rPr>
          <w:lang w:val="en-US"/>
        </w:rPr>
        <w:t xml:space="preserve">, it possible to measure a corresponding ACLR by integrating the emission levels within the adjacent channel. </w:t>
      </w:r>
      <w:r w:rsidR="001A5270">
        <w:rPr>
          <w:lang w:val="en-US"/>
        </w:rPr>
        <w:t xml:space="preserve">If </w:t>
      </w:r>
      <w:r w:rsidR="006A6823">
        <w:rPr>
          <w:lang w:val="en-US"/>
        </w:rPr>
        <w:t>we focus on UL side, i.e. UE requirement, by</w:t>
      </w:r>
      <w:r w:rsidR="001A5270">
        <w:rPr>
          <w:lang w:val="en-US"/>
        </w:rPr>
        <w:t xml:space="preserve"> </w:t>
      </w:r>
      <w:r w:rsidR="006A6823">
        <w:rPr>
          <w:lang w:val="en-US"/>
        </w:rPr>
        <w:t>assuming 23dBm total output power the corresponding ACLR would be ~14dB and ~11dB</w:t>
      </w:r>
      <w:r w:rsidR="00D557ED">
        <w:rPr>
          <w:lang w:val="en-US"/>
        </w:rPr>
        <w:t>, for 100MHz and 200MHz channel BW, respectively. This shows that, although a bit tighter, the ACLR derived based on the ACIR results from the coexistence study would be in the same ballpark.</w:t>
      </w:r>
    </w:p>
    <w:p w14:paraId="23B2DE25" w14:textId="744DFB32" w:rsidR="003E33A0" w:rsidRDefault="00DC6006" w:rsidP="003E33A0">
      <w:pPr>
        <w:keepNext/>
        <w:jc w:val="center"/>
      </w:pPr>
      <w:r w:rsidRPr="00DC6006">
        <w:rPr>
          <w:noProof/>
          <w:lang w:val="en-US"/>
        </w:rPr>
        <w:lastRenderedPageBreak/>
        <w:drawing>
          <wp:inline distT="0" distB="0" distL="0" distR="0" wp14:anchorId="27DB9AE5" wp14:editId="0E83E0A6">
            <wp:extent cx="5120640" cy="3840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7AB0A99F" w14:textId="3B525CB1" w:rsidR="003E33A0" w:rsidRPr="00825E0F" w:rsidRDefault="003E33A0" w:rsidP="003E33A0">
      <w:pPr>
        <w:pStyle w:val="Caption"/>
        <w:jc w:val="center"/>
        <w:rPr>
          <w:lang w:val="en-US"/>
        </w:rPr>
      </w:pPr>
      <w:bookmarkStart w:id="3" w:name="_Ref466045206"/>
      <w:bookmarkStart w:id="4" w:name="_Ref466044455"/>
      <w:r>
        <w:t xml:space="preserve">Figure </w:t>
      </w:r>
      <w:r>
        <w:fldChar w:fldCharType="begin"/>
      </w:r>
      <w:r>
        <w:instrText xml:space="preserve"> SEQ Figure \* ARABIC </w:instrText>
      </w:r>
      <w:r>
        <w:fldChar w:fldCharType="separate"/>
      </w:r>
      <w:r w:rsidR="00D360DF">
        <w:rPr>
          <w:noProof/>
        </w:rPr>
        <w:t>1</w:t>
      </w:r>
      <w:r>
        <w:fldChar w:fldCharType="end"/>
      </w:r>
      <w:bookmarkEnd w:id="3"/>
      <w:r>
        <w:t xml:space="preserve">. FCC emission requirements </w:t>
      </w:r>
      <w:r w:rsidR="001A5270">
        <w:t xml:space="preserve">from </w:t>
      </w:r>
      <w:r w:rsidR="001A5270">
        <w:fldChar w:fldCharType="begin"/>
      </w:r>
      <w:r w:rsidR="001A5270">
        <w:instrText xml:space="preserve"> REF _Ref466045242 \r \h </w:instrText>
      </w:r>
      <w:r w:rsidR="001A5270">
        <w:fldChar w:fldCharType="separate"/>
      </w:r>
      <w:r w:rsidR="00D360DF">
        <w:t>[9]</w:t>
      </w:r>
      <w:r w:rsidR="001A5270">
        <w:fldChar w:fldCharType="end"/>
      </w:r>
      <w:r>
        <w:t>.</w:t>
      </w:r>
      <w:bookmarkEnd w:id="4"/>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25974169" w14:textId="3671903A" w:rsidR="005F1DA6" w:rsidRPr="005F1DA6" w:rsidRDefault="005F1DA6" w:rsidP="005F1DA6">
      <w:pPr>
        <w:rPr>
          <w:lang w:val="en-US"/>
        </w:rPr>
      </w:pPr>
      <w:r>
        <w:rPr>
          <w:lang w:val="en-US"/>
        </w:rPr>
        <w:t xml:space="preserve">In this contribution we summarized the simulation results for the NR adjacent channel coexistence study. </w:t>
      </w:r>
      <w:r w:rsidR="00716BCF">
        <w:rPr>
          <w:lang w:val="en-US"/>
        </w:rPr>
        <w:t>Based on the analysis of</w:t>
      </w:r>
      <w:r>
        <w:rPr>
          <w:lang w:val="en-US"/>
        </w:rPr>
        <w:t xml:space="preserve"> a very wide range of test cases, we made the following proposals: </w:t>
      </w:r>
    </w:p>
    <w:p w14:paraId="73B5FDA7" w14:textId="450433CB" w:rsidR="00CB4775" w:rsidRDefault="00CB4775" w:rsidP="00CB4775">
      <w:pPr>
        <w:rPr>
          <w:b/>
          <w:i/>
          <w:lang w:val="en-US"/>
        </w:rPr>
      </w:pPr>
      <w:r w:rsidRPr="00136CBB">
        <w:rPr>
          <w:b/>
          <w:i/>
          <w:lang w:val="en-US"/>
        </w:rPr>
        <w:t xml:space="preserve">Proposal 1: </w:t>
      </w:r>
      <w:r>
        <w:rPr>
          <w:b/>
          <w:i/>
          <w:lang w:val="en-US"/>
        </w:rPr>
        <w:t xml:space="preserve">The DL ACIR adopted to </w:t>
      </w:r>
      <w:r w:rsidR="00622418">
        <w:rPr>
          <w:b/>
          <w:i/>
          <w:lang w:val="en-US"/>
        </w:rPr>
        <w:t>derive</w:t>
      </w:r>
      <w:r>
        <w:rPr>
          <w:b/>
          <w:i/>
          <w:lang w:val="en-US"/>
        </w:rPr>
        <w:t xml:space="preserve"> NR UE ACS and BS ACLR at 30GHz should be less than or equal to </w:t>
      </w:r>
      <w:r w:rsidR="003E33A0">
        <w:rPr>
          <w:b/>
          <w:i/>
          <w:lang w:val="en-US"/>
        </w:rPr>
        <w:t>17</w:t>
      </w:r>
      <w:r>
        <w:rPr>
          <w:b/>
          <w:i/>
          <w:lang w:val="en-US"/>
        </w:rPr>
        <w:t>dB.</w:t>
      </w:r>
    </w:p>
    <w:p w14:paraId="27D0F711" w14:textId="6D9E7138" w:rsidR="00CB4775" w:rsidRDefault="00CB4775" w:rsidP="00CB4775">
      <w:pPr>
        <w:rPr>
          <w:b/>
          <w:i/>
          <w:lang w:val="en-US"/>
        </w:rPr>
      </w:pPr>
      <w:r w:rsidRPr="00136CBB">
        <w:rPr>
          <w:b/>
          <w:i/>
          <w:lang w:val="en-US"/>
        </w:rPr>
        <w:t xml:space="preserve">Proposal </w:t>
      </w:r>
      <w:r>
        <w:rPr>
          <w:b/>
          <w:i/>
          <w:lang w:val="en-US"/>
        </w:rPr>
        <w:t>2</w:t>
      </w:r>
      <w:r w:rsidRPr="00136CBB">
        <w:rPr>
          <w:b/>
          <w:i/>
          <w:lang w:val="en-US"/>
        </w:rPr>
        <w:t xml:space="preserve">: </w:t>
      </w:r>
      <w:r>
        <w:rPr>
          <w:b/>
          <w:i/>
          <w:lang w:val="en-US"/>
        </w:rPr>
        <w:t xml:space="preserve">The </w:t>
      </w:r>
      <w:r w:rsidR="00AE01CF">
        <w:rPr>
          <w:b/>
          <w:i/>
          <w:lang w:val="en-US"/>
        </w:rPr>
        <w:t>U</w:t>
      </w:r>
      <w:r>
        <w:rPr>
          <w:b/>
          <w:i/>
          <w:lang w:val="en-US"/>
        </w:rPr>
        <w:t xml:space="preserve">L ACIR adopted to </w:t>
      </w:r>
      <w:r w:rsidR="00622418">
        <w:rPr>
          <w:b/>
          <w:i/>
          <w:lang w:val="en-US"/>
        </w:rPr>
        <w:t>derive</w:t>
      </w:r>
      <w:r>
        <w:rPr>
          <w:b/>
          <w:i/>
          <w:lang w:val="en-US"/>
        </w:rPr>
        <w:t xml:space="preserve"> NR UE ACLR and BS ACS at 30GHz should be less than or equal to</w:t>
      </w:r>
      <w:r w:rsidR="00D72F93">
        <w:rPr>
          <w:b/>
          <w:i/>
          <w:lang w:val="en-US"/>
        </w:rPr>
        <w:t xml:space="preserve"> </w:t>
      </w:r>
      <w:r>
        <w:rPr>
          <w:b/>
          <w:i/>
          <w:lang w:val="en-US"/>
        </w:rPr>
        <w:t>15dB.</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1A4CB0F5" w14:textId="696BC257" w:rsidR="00FB0D70" w:rsidRDefault="00895ACA" w:rsidP="00895ACA">
      <w:pPr>
        <w:pStyle w:val="ListParagraph"/>
        <w:numPr>
          <w:ilvl w:val="0"/>
          <w:numId w:val="2"/>
        </w:numPr>
        <w:jc w:val="both"/>
        <w:rPr>
          <w:lang w:val="en-US"/>
        </w:rPr>
      </w:pPr>
      <w:bookmarkStart w:id="5" w:name="_Ref465947019"/>
      <w:r w:rsidRPr="00895ACA">
        <w:rPr>
          <w:lang w:val="en-US"/>
        </w:rPr>
        <w:t>R4-168953</w:t>
      </w:r>
      <w:r>
        <w:rPr>
          <w:lang w:val="en-US"/>
        </w:rPr>
        <w:t>,</w:t>
      </w:r>
      <w:r w:rsidRPr="00895ACA">
        <w:rPr>
          <w:lang w:val="en-US"/>
        </w:rPr>
        <w:t xml:space="preserve"> </w:t>
      </w:r>
      <w:r>
        <w:rPr>
          <w:lang w:val="en-US"/>
        </w:rPr>
        <w:t>“</w:t>
      </w:r>
      <w:r w:rsidRPr="00895ACA">
        <w:rPr>
          <w:lang w:val="en-US"/>
        </w:rPr>
        <w:t>Simulation assumptions for WP5D co-existence simulation</w:t>
      </w:r>
      <w:r>
        <w:rPr>
          <w:lang w:val="en-US"/>
        </w:rPr>
        <w:t xml:space="preserve">”, </w:t>
      </w:r>
      <w:r w:rsidRPr="00895ACA">
        <w:rPr>
          <w:lang w:val="en-US"/>
        </w:rPr>
        <w:t>NTT DOCOMO, INC</w:t>
      </w:r>
      <w:r>
        <w:rPr>
          <w:lang w:val="en-US"/>
        </w:rPr>
        <w:t>.</w:t>
      </w:r>
      <w:bookmarkEnd w:id="5"/>
    </w:p>
    <w:p w14:paraId="69342DBB" w14:textId="25FE7DDA" w:rsidR="00895ACA" w:rsidRPr="00CE138E" w:rsidRDefault="00895ACA" w:rsidP="00895ACA">
      <w:pPr>
        <w:pStyle w:val="ListParagraph"/>
        <w:numPr>
          <w:ilvl w:val="0"/>
          <w:numId w:val="2"/>
        </w:numPr>
        <w:jc w:val="both"/>
        <w:rPr>
          <w:lang w:val="en-US"/>
        </w:rPr>
      </w:pPr>
      <w:bookmarkStart w:id="6" w:name="_Ref465947021"/>
      <w:r w:rsidRPr="00895ACA">
        <w:rPr>
          <w:lang w:val="en-US"/>
        </w:rPr>
        <w:t>R4-168794</w:t>
      </w:r>
      <w:r>
        <w:rPr>
          <w:lang w:val="en-US"/>
        </w:rPr>
        <w:t>, “</w:t>
      </w:r>
      <w:r w:rsidRPr="00895ACA">
        <w:rPr>
          <w:lang w:val="en-US"/>
        </w:rPr>
        <w:t>Further Way forward on urban micro layout and BS Beamforming Model</w:t>
      </w:r>
      <w:r w:rsidRPr="00CE138E">
        <w:rPr>
          <w:lang w:val="en-US"/>
        </w:rPr>
        <w:t xml:space="preserve">”, </w:t>
      </w:r>
      <w:r w:rsidRPr="00CE138E">
        <w:t>Hua</w:t>
      </w:r>
      <w:r w:rsidR="00721432">
        <w:t>w</w:t>
      </w:r>
      <w:r w:rsidRPr="00CE138E">
        <w:t>ei Technologies Co., Ltd</w:t>
      </w:r>
      <w:bookmarkEnd w:id="6"/>
      <w:r w:rsidR="00CE138E">
        <w:t>.</w:t>
      </w:r>
    </w:p>
    <w:p w14:paraId="46739A89" w14:textId="02BAAA78" w:rsidR="00895ACA" w:rsidRDefault="00895ACA" w:rsidP="00895ACA">
      <w:pPr>
        <w:pStyle w:val="ListParagraph"/>
        <w:numPr>
          <w:ilvl w:val="0"/>
          <w:numId w:val="2"/>
        </w:numPr>
        <w:jc w:val="both"/>
        <w:rPr>
          <w:lang w:val="en-US"/>
        </w:rPr>
      </w:pPr>
      <w:bookmarkStart w:id="7" w:name="_Ref465947023"/>
      <w:r w:rsidRPr="00895ACA">
        <w:rPr>
          <w:lang w:val="en-US"/>
        </w:rPr>
        <w:t>R4-168795</w:t>
      </w:r>
      <w:r>
        <w:rPr>
          <w:lang w:val="en-US"/>
        </w:rPr>
        <w:t>, “</w:t>
      </w:r>
      <w:r w:rsidRPr="00895ACA">
        <w:rPr>
          <w:lang w:val="en-US"/>
        </w:rPr>
        <w:t>WF on simulation parameters for Urban macro and TPC model</w:t>
      </w:r>
      <w:r>
        <w:rPr>
          <w:lang w:val="en-US"/>
        </w:rPr>
        <w:t xml:space="preserve">”, </w:t>
      </w:r>
      <w:r w:rsidRPr="00895ACA">
        <w:rPr>
          <w:lang w:val="en-US"/>
        </w:rPr>
        <w:t>NTT DOCOMO, INC</w:t>
      </w:r>
      <w:r>
        <w:rPr>
          <w:lang w:val="en-US"/>
        </w:rPr>
        <w:t>., Qualcomm Incorporated.</w:t>
      </w:r>
      <w:bookmarkEnd w:id="7"/>
    </w:p>
    <w:p w14:paraId="180B03A8" w14:textId="1CD5B250" w:rsidR="00ED2954" w:rsidRDefault="00ED2954" w:rsidP="00A95A2D">
      <w:pPr>
        <w:pStyle w:val="ListParagraph"/>
        <w:numPr>
          <w:ilvl w:val="0"/>
          <w:numId w:val="2"/>
        </w:numPr>
        <w:jc w:val="both"/>
        <w:rPr>
          <w:lang w:val="en-US"/>
        </w:rPr>
      </w:pPr>
      <w:bookmarkStart w:id="8" w:name="_Ref465947427"/>
      <w:r w:rsidRPr="00ED2954">
        <w:rPr>
          <w:lang w:val="en-US"/>
        </w:rPr>
        <w:t>R4-16</w:t>
      </w:r>
      <w:r w:rsidR="00D360DF">
        <w:rPr>
          <w:lang w:val="en-US"/>
        </w:rPr>
        <w:t>10161</w:t>
      </w:r>
      <w:r w:rsidRPr="00ED2954">
        <w:rPr>
          <w:lang w:val="en-US"/>
        </w:rPr>
        <w:t>, “</w:t>
      </w:r>
      <w:r w:rsidR="00A95A2D" w:rsidRPr="00A95A2D">
        <w:rPr>
          <w:lang w:val="en-US"/>
        </w:rPr>
        <w:t xml:space="preserve">Simulation results for NR coexistence study: </w:t>
      </w:r>
      <w:r w:rsidR="00E01461">
        <w:rPr>
          <w:lang w:val="en-US"/>
        </w:rPr>
        <w:t xml:space="preserve">urban </w:t>
      </w:r>
      <w:r w:rsidR="00A95A2D">
        <w:rPr>
          <w:lang w:val="en-US"/>
        </w:rPr>
        <w:t>macro deployment at 30GHz</w:t>
      </w:r>
      <w:r w:rsidRPr="00ED2954">
        <w:rPr>
          <w:lang w:val="en-US"/>
        </w:rPr>
        <w:t>”, Qualcomm Incorporated.</w:t>
      </w:r>
      <w:bookmarkEnd w:id="8"/>
    </w:p>
    <w:p w14:paraId="19C0120A" w14:textId="77777777" w:rsidR="00D360DF" w:rsidRDefault="00D360DF" w:rsidP="00D360DF">
      <w:pPr>
        <w:pStyle w:val="ListParagraph"/>
        <w:numPr>
          <w:ilvl w:val="0"/>
          <w:numId w:val="2"/>
        </w:numPr>
        <w:jc w:val="both"/>
        <w:rPr>
          <w:lang w:val="en-US"/>
        </w:rPr>
      </w:pPr>
      <w:bookmarkStart w:id="9" w:name="_Ref465964795"/>
      <w:r w:rsidRPr="00ED2954">
        <w:rPr>
          <w:lang w:val="en-US"/>
        </w:rPr>
        <w:t>R4-16</w:t>
      </w:r>
      <w:r>
        <w:rPr>
          <w:lang w:val="en-US"/>
        </w:rPr>
        <w:t>10162</w:t>
      </w:r>
      <w:r w:rsidRPr="00ED2954">
        <w:rPr>
          <w:lang w:val="en-US"/>
        </w:rPr>
        <w:t>, “</w:t>
      </w:r>
      <w:r w:rsidRPr="00A95A2D">
        <w:rPr>
          <w:lang w:val="en-US"/>
        </w:rPr>
        <w:t xml:space="preserve">Simulation results for NR coexistence study: </w:t>
      </w:r>
      <w:r>
        <w:rPr>
          <w:lang w:val="en-US"/>
        </w:rPr>
        <w:t>dense urban deployment at 30GHz</w:t>
      </w:r>
      <w:r w:rsidRPr="00ED2954">
        <w:rPr>
          <w:lang w:val="en-US"/>
        </w:rPr>
        <w:t>”, Qualcomm Incorporated.</w:t>
      </w:r>
      <w:bookmarkEnd w:id="9"/>
    </w:p>
    <w:p w14:paraId="5540B96C" w14:textId="377792FD" w:rsidR="00E01461" w:rsidRDefault="00E01461" w:rsidP="00E01461">
      <w:pPr>
        <w:pStyle w:val="ListParagraph"/>
        <w:numPr>
          <w:ilvl w:val="0"/>
          <w:numId w:val="2"/>
        </w:numPr>
        <w:jc w:val="both"/>
        <w:rPr>
          <w:lang w:val="en-US"/>
        </w:rPr>
      </w:pPr>
      <w:bookmarkStart w:id="10" w:name="_Ref465964784"/>
      <w:r w:rsidRPr="00ED2954">
        <w:rPr>
          <w:lang w:val="en-US"/>
        </w:rPr>
        <w:t>R4-16</w:t>
      </w:r>
      <w:r w:rsidR="00D360DF">
        <w:rPr>
          <w:lang w:val="en-US"/>
        </w:rPr>
        <w:t>10163</w:t>
      </w:r>
      <w:r w:rsidRPr="00ED2954">
        <w:rPr>
          <w:lang w:val="en-US"/>
        </w:rPr>
        <w:t>, “</w:t>
      </w:r>
      <w:r w:rsidRPr="00A95A2D">
        <w:rPr>
          <w:lang w:val="en-US"/>
        </w:rPr>
        <w:t xml:space="preserve">Simulation results for NR coexistence study: </w:t>
      </w:r>
      <w:r>
        <w:rPr>
          <w:lang w:val="en-US"/>
        </w:rPr>
        <w:t>indoor deployment at 30GHz</w:t>
      </w:r>
      <w:r w:rsidRPr="00ED2954">
        <w:rPr>
          <w:lang w:val="en-US"/>
        </w:rPr>
        <w:t>”, Qualcomm Incorporated.</w:t>
      </w:r>
      <w:bookmarkEnd w:id="10"/>
    </w:p>
    <w:p w14:paraId="20EAB841" w14:textId="67AB4D22" w:rsidR="00795908" w:rsidRDefault="00D360DF" w:rsidP="00795908">
      <w:pPr>
        <w:pStyle w:val="ListParagraph"/>
        <w:ind w:left="360"/>
        <w:jc w:val="both"/>
        <w:rPr>
          <w:lang w:val="en-US"/>
        </w:rPr>
      </w:pPr>
      <w:bookmarkStart w:id="11" w:name="_Ref466046697"/>
      <w:r w:rsidRPr="00ED2954">
        <w:rPr>
          <w:lang w:val="en-US"/>
        </w:rPr>
        <w:t>R4-16</w:t>
      </w:r>
      <w:r>
        <w:rPr>
          <w:lang w:val="en-US"/>
        </w:rPr>
        <w:t>10164</w:t>
      </w:r>
      <w:r w:rsidRPr="00ED2954">
        <w:rPr>
          <w:lang w:val="en-US"/>
        </w:rPr>
        <w:t>, “</w:t>
      </w:r>
      <w:r w:rsidRPr="00A95A2D">
        <w:rPr>
          <w:lang w:val="en-US"/>
        </w:rPr>
        <w:t xml:space="preserve">Simulation results for NR coexistence study: </w:t>
      </w:r>
      <w:r>
        <w:rPr>
          <w:lang w:val="en-US"/>
        </w:rPr>
        <w:t>dense urban deployment at 70GHz</w:t>
      </w:r>
      <w:r w:rsidRPr="00ED2954">
        <w:rPr>
          <w:lang w:val="en-US"/>
        </w:rPr>
        <w:t>”, Qualcomm</w:t>
      </w:r>
      <w:bookmarkStart w:id="12" w:name="_Ref465964812"/>
      <w:bookmarkEnd w:id="11"/>
      <w:r w:rsidR="00795908" w:rsidRPr="00795908">
        <w:rPr>
          <w:lang w:val="en-US"/>
        </w:rPr>
        <w:t xml:space="preserve"> </w:t>
      </w:r>
      <w:r w:rsidR="00795908" w:rsidRPr="00ED2954">
        <w:rPr>
          <w:lang w:val="en-US"/>
        </w:rPr>
        <w:t>Incorporated.</w:t>
      </w:r>
      <w:bookmarkEnd w:id="12"/>
    </w:p>
    <w:p w14:paraId="562270BD" w14:textId="3EFBA34D" w:rsidR="00E01461" w:rsidRPr="00ED2954" w:rsidRDefault="00E01461" w:rsidP="00E01461">
      <w:pPr>
        <w:pStyle w:val="ListParagraph"/>
        <w:numPr>
          <w:ilvl w:val="0"/>
          <w:numId w:val="2"/>
        </w:numPr>
        <w:jc w:val="both"/>
        <w:rPr>
          <w:lang w:val="en-US"/>
        </w:rPr>
      </w:pPr>
      <w:bookmarkStart w:id="13" w:name="_Ref465964801"/>
      <w:r w:rsidRPr="00ED2954">
        <w:rPr>
          <w:lang w:val="en-US"/>
        </w:rPr>
        <w:t>R4-16</w:t>
      </w:r>
      <w:r w:rsidR="00D360DF">
        <w:rPr>
          <w:lang w:val="en-US"/>
        </w:rPr>
        <w:t>10165</w:t>
      </w:r>
      <w:r w:rsidRPr="00ED2954">
        <w:rPr>
          <w:lang w:val="en-US"/>
        </w:rPr>
        <w:t>, “</w:t>
      </w:r>
      <w:r w:rsidRPr="00A95A2D">
        <w:rPr>
          <w:lang w:val="en-US"/>
        </w:rPr>
        <w:t xml:space="preserve">Simulation results for NR coexistence study: </w:t>
      </w:r>
      <w:r>
        <w:rPr>
          <w:lang w:val="en-US"/>
        </w:rPr>
        <w:t>indoor deployment at 70GHz</w:t>
      </w:r>
      <w:r w:rsidRPr="00ED2954">
        <w:rPr>
          <w:lang w:val="en-US"/>
        </w:rPr>
        <w:t>”, Qualcomm Incorporated.</w:t>
      </w:r>
      <w:bookmarkEnd w:id="13"/>
    </w:p>
    <w:p w14:paraId="27EDEBA4" w14:textId="593ACDB1" w:rsidR="00E01461" w:rsidRPr="00DF6266" w:rsidRDefault="00324B0D" w:rsidP="00324B0D">
      <w:pPr>
        <w:pStyle w:val="ListParagraph"/>
        <w:numPr>
          <w:ilvl w:val="0"/>
          <w:numId w:val="2"/>
        </w:numPr>
        <w:jc w:val="both"/>
        <w:rPr>
          <w:lang w:val="en-US"/>
        </w:rPr>
      </w:pPr>
      <w:r w:rsidRPr="00324B0D">
        <w:rPr>
          <w:lang w:val="en-US"/>
        </w:rPr>
        <w:t>47CFR Part 30 per the FCC Report and Order FCC 16-89</w:t>
      </w:r>
      <w:r>
        <w:rPr>
          <w:lang w:val="en-US"/>
        </w:rPr>
        <w:t>.</w:t>
      </w:r>
    </w:p>
    <w:p w14:paraId="0A2C0176" w14:textId="77777777" w:rsidR="00E01461" w:rsidRPr="00E01461" w:rsidRDefault="00E01461" w:rsidP="00E01461">
      <w:pPr>
        <w:jc w:val="both"/>
        <w:rPr>
          <w:lang w:val="en-US"/>
        </w:rPr>
      </w:pPr>
    </w:p>
    <w:p w14:paraId="2E1639BA" w14:textId="7F80AE65" w:rsidR="00ED2954" w:rsidRPr="00D8157D" w:rsidRDefault="00ED2954" w:rsidP="00ED2954">
      <w:pPr>
        <w:pStyle w:val="ListParagraph"/>
        <w:ind w:left="360"/>
        <w:jc w:val="both"/>
        <w:rPr>
          <w:lang w:val="en-US"/>
        </w:rPr>
      </w:pPr>
    </w:p>
    <w:sectPr w:rsidR="00ED2954" w:rsidRPr="00D8157D"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77366" w14:textId="77777777" w:rsidR="007071CA" w:rsidRDefault="007071CA">
      <w:r>
        <w:separator/>
      </w:r>
    </w:p>
  </w:endnote>
  <w:endnote w:type="continuationSeparator" w:id="0">
    <w:p w14:paraId="5CDB9A3A" w14:textId="77777777" w:rsidR="007071CA" w:rsidRDefault="0070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D00987" w:rsidRDefault="00D009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E01CF">
      <w:rPr>
        <w:rStyle w:val="PageNumber"/>
      </w:rPr>
      <w:t>3</w:t>
    </w:r>
    <w:r>
      <w:rPr>
        <w:rStyle w:val="PageNumber"/>
      </w:rPr>
      <w:fldChar w:fldCharType="end"/>
    </w:r>
  </w:p>
  <w:p w14:paraId="40DAC66D" w14:textId="77777777" w:rsidR="00D00987" w:rsidRDefault="00D0098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E55A8" w14:textId="77777777" w:rsidR="007071CA" w:rsidRDefault="007071CA">
      <w:r>
        <w:separator/>
      </w:r>
    </w:p>
  </w:footnote>
  <w:footnote w:type="continuationSeparator" w:id="0">
    <w:p w14:paraId="457CAC57" w14:textId="77777777" w:rsidR="007071CA" w:rsidRDefault="007071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9"/>
  </w:num>
  <w:num w:numId="3">
    <w:abstractNumId w:val="11"/>
  </w:num>
  <w:num w:numId="4">
    <w:abstractNumId w:val="12"/>
  </w:num>
  <w:num w:numId="5">
    <w:abstractNumId w:val="8"/>
  </w:num>
  <w:num w:numId="6">
    <w:abstractNumId w:val="3"/>
  </w:num>
  <w:num w:numId="7">
    <w:abstractNumId w:val="2"/>
  </w:num>
  <w:num w:numId="8">
    <w:abstractNumId w:val="10"/>
  </w:num>
  <w:num w:numId="9">
    <w:abstractNumId w:val="4"/>
  </w:num>
  <w:num w:numId="10">
    <w:abstractNumId w:val="7"/>
  </w:num>
  <w:num w:numId="11">
    <w:abstractNumId w:val="13"/>
  </w:num>
  <w:num w:numId="12">
    <w:abstractNumId w:val="1"/>
  </w:num>
  <w:num w:numId="13">
    <w:abstractNumId w:val="0"/>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67769"/>
    <w:rsid w:val="00070561"/>
    <w:rsid w:val="00070ECC"/>
    <w:rsid w:val="000724BF"/>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E0C"/>
    <w:rsid w:val="000D6053"/>
    <w:rsid w:val="000D692E"/>
    <w:rsid w:val="000D7224"/>
    <w:rsid w:val="000D7652"/>
    <w:rsid w:val="000E04BA"/>
    <w:rsid w:val="000E0602"/>
    <w:rsid w:val="000E1041"/>
    <w:rsid w:val="000E1046"/>
    <w:rsid w:val="000E2463"/>
    <w:rsid w:val="000E263E"/>
    <w:rsid w:val="000E2C23"/>
    <w:rsid w:val="000E2DE2"/>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95C12"/>
    <w:rsid w:val="001A151F"/>
    <w:rsid w:val="001A164F"/>
    <w:rsid w:val="001A1B9D"/>
    <w:rsid w:val="001A1D6F"/>
    <w:rsid w:val="001A24F6"/>
    <w:rsid w:val="001A35DF"/>
    <w:rsid w:val="001A4813"/>
    <w:rsid w:val="001A4C57"/>
    <w:rsid w:val="001A50B1"/>
    <w:rsid w:val="001A5270"/>
    <w:rsid w:val="001A658B"/>
    <w:rsid w:val="001A6604"/>
    <w:rsid w:val="001A79A4"/>
    <w:rsid w:val="001B0041"/>
    <w:rsid w:val="001B0DAA"/>
    <w:rsid w:val="001B0F6F"/>
    <w:rsid w:val="001B12B5"/>
    <w:rsid w:val="001B180F"/>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17E8A"/>
    <w:rsid w:val="00220952"/>
    <w:rsid w:val="00221BA7"/>
    <w:rsid w:val="00221D4F"/>
    <w:rsid w:val="002247C0"/>
    <w:rsid w:val="0022544D"/>
    <w:rsid w:val="0022639F"/>
    <w:rsid w:val="00227278"/>
    <w:rsid w:val="00230C94"/>
    <w:rsid w:val="00230EB7"/>
    <w:rsid w:val="00230EC6"/>
    <w:rsid w:val="00231913"/>
    <w:rsid w:val="00234C5F"/>
    <w:rsid w:val="0023565D"/>
    <w:rsid w:val="00236663"/>
    <w:rsid w:val="00236C6E"/>
    <w:rsid w:val="00236FAA"/>
    <w:rsid w:val="002370A2"/>
    <w:rsid w:val="00237C95"/>
    <w:rsid w:val="00237E42"/>
    <w:rsid w:val="0024002C"/>
    <w:rsid w:val="00240451"/>
    <w:rsid w:val="002420FA"/>
    <w:rsid w:val="00243110"/>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7E"/>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0ACD"/>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1CA"/>
    <w:rsid w:val="00707981"/>
    <w:rsid w:val="00707A97"/>
    <w:rsid w:val="007108D8"/>
    <w:rsid w:val="00710978"/>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326"/>
    <w:rsid w:val="00762588"/>
    <w:rsid w:val="007628B2"/>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45EB"/>
    <w:rsid w:val="009B4B74"/>
    <w:rsid w:val="009B69BC"/>
    <w:rsid w:val="009B7262"/>
    <w:rsid w:val="009B73DC"/>
    <w:rsid w:val="009B79DD"/>
    <w:rsid w:val="009C04FC"/>
    <w:rsid w:val="009C22CD"/>
    <w:rsid w:val="009C2D78"/>
    <w:rsid w:val="009C38FE"/>
    <w:rsid w:val="009C3935"/>
    <w:rsid w:val="009C46D2"/>
    <w:rsid w:val="009C4711"/>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B4A"/>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2CC"/>
    <w:rsid w:val="00AB2C2E"/>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2D61"/>
    <w:rsid w:val="00BD33E3"/>
    <w:rsid w:val="00BD4727"/>
    <w:rsid w:val="00BD4B33"/>
    <w:rsid w:val="00BD5377"/>
    <w:rsid w:val="00BD54ED"/>
    <w:rsid w:val="00BD5737"/>
    <w:rsid w:val="00BD5AF5"/>
    <w:rsid w:val="00BD5C2D"/>
    <w:rsid w:val="00BE15F1"/>
    <w:rsid w:val="00BE175F"/>
    <w:rsid w:val="00BE2082"/>
    <w:rsid w:val="00BE22CC"/>
    <w:rsid w:val="00BE22E0"/>
    <w:rsid w:val="00BE2999"/>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7693"/>
    <w:rsid w:val="00C3796D"/>
    <w:rsid w:val="00C42FFC"/>
    <w:rsid w:val="00C4302C"/>
    <w:rsid w:val="00C431E3"/>
    <w:rsid w:val="00C432F5"/>
    <w:rsid w:val="00C43598"/>
    <w:rsid w:val="00C4646C"/>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D18"/>
    <w:rsid w:val="00D26312"/>
    <w:rsid w:val="00D26419"/>
    <w:rsid w:val="00D273DE"/>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7A6"/>
    <w:rsid w:val="00D72F93"/>
    <w:rsid w:val="00D73006"/>
    <w:rsid w:val="00D7361F"/>
    <w:rsid w:val="00D744C7"/>
    <w:rsid w:val="00D74AC4"/>
    <w:rsid w:val="00D750FB"/>
    <w:rsid w:val="00D75151"/>
    <w:rsid w:val="00D76896"/>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977"/>
    <w:rsid w:val="00D84F25"/>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17F"/>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16F4"/>
    <w:rsid w:val="00ED2954"/>
    <w:rsid w:val="00ED33CC"/>
    <w:rsid w:val="00ED444D"/>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66C"/>
    <w:rsid w:val="00EF3D73"/>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C76E9"/>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A95DB596-4519-4B3A-A6C5-5D13B2A5B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338</TotalTime>
  <Pages>3</Pages>
  <Words>988</Words>
  <Characters>5633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6608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48</cp:revision>
  <cp:lastPrinted>2016-11-03T15:48:00Z</cp:lastPrinted>
  <dcterms:created xsi:type="dcterms:W3CDTF">2016-09-30T15:07:00Z</dcterms:created>
  <dcterms:modified xsi:type="dcterms:W3CDTF">2016-11-07T21:04:00Z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